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GaStellV (Bayern) — Betriebsvorschriften für Garagen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Zu- und Abfahrten und die Rettungswege sind bis zur öffentlichen Verkehrsfläche verkehrssicher und frei zu halten; das gilt auch bei Eis- und Schneeglätte.</w:t>
      </w:r>
    </w:p>
    <w:p>
      <w:r>
        <w:t xml:space="preserve">(2) In Mittel- und Großgaragen muss die allgemeine elektrische Beleuchtung nach § 13 Abs. 1</w:t>
      </w:r>
    </w:p>
    <w:p>
      <w:r>
        <w:t xml:space="preserve">1. während der Benutzungszeit an allen Stellen der Rettungswege und Stellen, die barrierefrei sein müssen, mit einer Beleuchtungsstärke von mindestens 20 Lux, im Übrigen von mindestens 15 Lux,</w:t>
      </w:r>
    </w:p>
    <w:p>
      <w:r>
        <w:t xml:space="preserve">2. während der Betriebszeit ständig mit einer Beleuchtungsstärke von mindestens einem Lux,</w:t>
      </w:r>
    </w:p>
    <w:p>
      <w:r>
        <w:t xml:space="preserve">eingeschaltet sein, soweit nicht Tageslicht mit einer entsprechenden Beleuchtungsstärke vorhanden ist.</w:t>
      </w:r>
    </w:p>
    <w:p>
      <w:r>
        <w:t xml:space="preserve">(3) Lüftungsöffnungen und -schächte dürfen nicht verschlossen oder zugestellt werden. Maschinelle Lüftungsanlagen und CO-Warnanlagen müssen so gewartet werden, daß sie ständig betriebsbereit sind. CO-Warnanlagen müssen ständig eingeschaltet sein. Maschinelle Abluftanlagen müssen so betrieben werden, daß der CO-Halbstundenmittelwert nicht mehr als 100 ppm beträgt (§ 14 Abs. 4).</w:t>
      </w:r>
    </w:p>
    <w:p>
      <w:r>
        <w:t xml:space="preserve">(4) In Mittel- und Großgaragen dürfen brennbare Stoffe außerhalb von Kraftfahrzeugen nur in unerheblichen Mengen aufbewahrt werden. In Kleingaragen dürfen bis zu 200 l Dieselkraftstoff und bis zu 20 l Benzin in dicht verschlossenen, bruchsicheren Behältern aufbewahrt werden.</w:t>
      </w:r>
    </w:p>
    <w:p>
      <w:r>
        <w:rPr>
          <w:color w:val="555555"/>
          <w:sz w:val="17"/>
        </w:rPr>
        <w:t xml:space="preserve">Zitiervorschlag: § 17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