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GaStellV (Bayern) — Beleuchtung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Mittel- und Großgaragen muß eine allgemeine elektrische Beleuchtung vorhanden sein. Sie muß so beschaffen und mindestens in zwei Stufen derartig schaltbar sein, daß an allen Stellen der Nutzflächen und Rettungswege gemäß § 17 Abs. 2 in der ersten Stufe eine Beleuchtungsstärke von mindestens 1 Lux und in der zweiten Stufe an allen Stellen der Rettungswege und Stellen, die barrierefrei sein müssen, von mindestens 20 Lux, im Übrigen von mindestens 15 Lux erreicht werden.</w:t>
      </w:r>
    </w:p>
    <w:p>
      <w:r>
        <w:t xml:space="preserve">(2) In geschlossenen Großgaragen und in mehrgeschossigen unterirdischen Mittelgaragen muß zur Beleuchtung der Rettungswege eine Sicherheitsbeleuchtung vorhanden sein; das gilt nicht für eingeschossige Garagen mit festem Benutzerkreis.</w:t>
      </w:r>
    </w:p>
    <w:p>
      <w:r>
        <w:t xml:space="preserve">(3) Die Absätze 1 und 2 gelten nicht für automatische Garagen.</w:t>
      </w:r>
    </w:p>
    <w:p>
      <w:r>
        <w:rPr>
          <w:color w:val="555555"/>
          <w:sz w:val="17"/>
        </w:rPr>
        <w:t xml:space="preserve">Zitiervorschlag: § 13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