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GaStatAusV — Inkrafttreten</w:t>
      </w:r>
    </w:p>
    <w:p>
      <w:r>
        <w:rPr>
          <w:color w:val="555555"/>
          <w:sz w:val="18"/>
        </w:rPr>
        <w:t xml:space="preserve">Ganztagsstatistikaussetzungsverordnung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GaStatAusV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https://recht.nulegal.eu/gesetze/GaStatAusV/2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