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GaFinHG — Förderquote</w:t>
      </w:r>
    </w:p>
    <w:p>
      <w:r>
        <w:rPr>
          <w:color w:val="555555"/>
          <w:sz w:val="18"/>
        </w:rPr>
        <w:t xml:space="preserve">Ganztagsfinanzhilfegesetz</w:t>
      </w:r>
    </w:p>
    <w:p>
      <w:r>
        <w:rPr>
          <w:color w:val="555555"/>
          <w:sz w:val="18"/>
        </w:rPr>
        <w:t xml:space="preserve">Stand: 12.10.2021 (konsolidierte Textfassung, kein amtliches Inkrafttretensdatum)</w:t>
      </w:r>
    </w:p>
    <w:p>
      <w:r>
        <w:t xml:space="preserve">Der Bund beteiligt sich gemäß § 4 Absatz 1 des Ganztagsfinanzierungsgesetzes vom 9. Dezember 2020 (BGBl. I S. 2865) mit einem Betrag von maximal 3,5 Milliarden Euro mit einer Förderquote von höchstens 70 Prozent, die Länder beteiligen sich mit mindestens 30 Prozent am Gesamtvolumen des öffentlichen Finanzierungsanteils der nach § 3 förderfähigen Ausgaben eines Landes im Sinne von Artikel 104c des Grundgesetzes. Die Eigenmittel freier Träger können auf den Finanzierungsanteil der Länder angerechnet werden, soweit der verbleibende Anteil des Landes am Gesamtvolumen des öffentlichen Finanzierungsanteils mindestens 10 Prozent beträgt.</w:t>
      </w:r>
    </w:p>
    <w:p>
      <w:r>
        <w:rPr>
          <w:color w:val="555555"/>
          <w:sz w:val="17"/>
        </w:rPr>
        <w:t xml:space="preserve">Zitiervorschlag: § 4 GaFinHG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https://recht.nulegal.eu/gesetze/GaFinHG/4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