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GaFG — Auflösung des Sondervermögens</w:t>
      </w:r>
    </w:p>
    <w:p>
      <w:r>
        <w:rPr>
          <w:color w:val="555555"/>
          <w:sz w:val="18"/>
        </w:rPr>
        <w:t xml:space="preserve">Ganztagsfinanzierungsgesetz</w:t>
      </w:r>
    </w:p>
    <w:p>
      <w:r>
        <w:rPr>
          <w:color w:val="555555"/>
          <w:sz w:val="18"/>
        </w:rPr>
        <w:t xml:space="preserve">Stand: 24.07.2025 (konsolidierte Textfassung, kein amtliches Inkrafttretensdatum)</w:t>
      </w:r>
    </w:p>
    <w:p>
      <w:r>
        <w:t xml:space="preserve">(1) Das Sondervermögen gilt am 31. Dezember des Jahres, in dem seine Mittel nach § 4 für die Erfüllung seiner gesetzlichen Aufgaben vollständig verbraucht sind, als aufgelöst, spätestens am 31. Dezember 2030.</w:t>
      </w:r>
    </w:p>
    <w:p>
      <w:r>
        <w:t xml:space="preserve">(2) Ein verbleibendes Vermögen fällt dem Bund zu. Die Einzelheiten der Abwicklung des Sondervermögens nach seiner Auflösung bestimmt die Bundesregierung in einer Rechtsverordnung, die nicht der Zustimmung des Bundesrates bedarf.</w:t>
      </w:r>
    </w:p>
    <w:p>
      <w:r>
        <w:rPr>
          <w:color w:val="555555"/>
          <w:sz w:val="17"/>
        </w:rPr>
        <w:t xml:space="preserve">Zitiervorschlag: § 9 GaFG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https://recht.nulegal.eu/gesetze/GaFG/9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