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GaFG — Verwaltungskosten des Sondervermögens</w:t>
      </w:r>
    </w:p>
    <w:p>
      <w:r>
        <w:rPr>
          <w:color w:val="555555"/>
          <w:sz w:val="18"/>
        </w:rPr>
        <w:t xml:space="preserve">Ganztagsfinanzierungsgesetz</w:t>
      </w:r>
    </w:p>
    <w:p>
      <w:r>
        <w:rPr>
          <w:color w:val="555555"/>
          <w:sz w:val="18"/>
        </w:rPr>
        <w:t xml:space="preserve">Stand: 15.12.2020 (konsolidierte Textfassung, kein amtliches Inkrafttretensdatum)</w:t>
      </w:r>
    </w:p>
    <w:p>
      <w:r>
        <w:t xml:space="preserve">Die Kosten für die Verwaltung des Sondervermögens trägt der Bund.</w:t>
      </w:r>
    </w:p>
    <w:p>
      <w:r>
        <w:rPr>
          <w:color w:val="555555"/>
          <w:sz w:val="17"/>
        </w:rPr>
        <w:t xml:space="preserve">Zitiervorschlag: § 8 GaFG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