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GaFG — Rücklagen des Sondervermögens</w:t>
      </w:r>
    </w:p>
    <w:p>
      <w:r>
        <w:rPr>
          <w:color w:val="555555"/>
          <w:sz w:val="18"/>
        </w:rPr>
        <w:t xml:space="preserve">Ganztagsfinanzierungsgesetz</w:t>
      </w:r>
    </w:p>
    <w:p>
      <w:r>
        <w:rPr>
          <w:color w:val="555555"/>
          <w:sz w:val="18"/>
        </w:rPr>
        <w:t xml:space="preserve">Stand: 15.12.2020 (konsolidierte Textfassung, kein amtliches Inkrafttretensdatum)</w:t>
      </w:r>
    </w:p>
    <w:p>
      <w:r>
        <w:t xml:space="preserve">Das Sondervermögen kann zur Erfüllung des gesetzlichen Zwecks Rücklagen bilden.</w:t>
      </w:r>
    </w:p>
    <w:p>
      <w:r>
        <w:rPr>
          <w:color w:val="555555"/>
          <w:sz w:val="17"/>
        </w:rPr>
        <w:t xml:space="preserve">Zitiervorschlag: § 5 GaFG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