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GaFG — Zweck des Sondervermögens</w:t>
      </w:r>
    </w:p>
    <w:p>
      <w:r>
        <w:rPr>
          <w:color w:val="555555"/>
          <w:sz w:val="18"/>
        </w:rPr>
        <w:t xml:space="preserve">Ganztagsfinanzierungsgesetz</w:t>
      </w:r>
    </w:p>
    <w:p>
      <w:r>
        <w:rPr>
          <w:color w:val="555555"/>
          <w:sz w:val="18"/>
        </w:rPr>
        <w:t xml:space="preserve">Stand: 15.12.2020 (konsolidierte Textfassung, kein amtliches Inkrafttretensdatum)</w:t>
      </w:r>
    </w:p>
    <w:p>
      <w:r>
        <w:t xml:space="preserve">Aus dem Sondervermögen werden den Ländern Finanzhilfen für gesamtstaatlich bedeutsame Investitionen der Länder und Gemeinden (Gemeindeverbände) in den quantitativen und qualitativen investiven Ausbau ganztägiger Bildungs- und Betreuungsangebote zur Umsetzung des Rechtsanspruchs auf Ganztagsbetreuung im Grundschulalter gewährt. Die Finanzhilfen werden durch Finanzhilfegesetz aufgrund von Artikel 104c des Grundgesetzes gewährt.</w:t>
      </w:r>
    </w:p>
    <w:p>
      <w:r>
        <w:rPr>
          <w:color w:val="555555"/>
          <w:sz w:val="17"/>
        </w:rPr>
        <w:t xml:space="preserve">Zitiervorschlag: § 2 GaFG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https://recht.nulegal.eu/gesetze/GaFG/2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