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GaFöG</w:t>
      </w:r>
    </w:p>
    <w:p>
      <w:r>
        <w:rPr>
          <w:color w:val="555555"/>
          <w:sz w:val="18"/>
        </w:rPr>
        <w:t xml:space="preserve">Ganztagsförderungsgesetz</w:t>
      </w:r>
    </w:p>
    <w:p>
      <w:r>
        <w:rPr>
          <w:color w:val="555555"/>
          <w:sz w:val="18"/>
        </w:rPr>
        <w:t xml:space="preserve">Stand: 12.10.2021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GaFöG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https://recht.nulegal.eu/gesetze/GaF%C3%B6G/eingangsformel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