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GaFöG — Inkrafttreten</w:t>
      </w:r>
    </w:p>
    <w:p>
      <w:r>
        <w:rPr>
          <w:color w:val="555555"/>
          <w:sz w:val="18"/>
        </w:rPr>
        <w:t xml:space="preserve">Ganztagsförderungsgesetz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Dieses Gesetz tritt vorbehaltlich der Absätze 2 bis 6 am Tag nach der Verkündung in Kraft.</w:t>
      </w:r>
    </w:p>
    <w:p>
      <w:r>
        <w:t xml:space="preserve">(2) Artikel 1 Nummer 1 und 4 tritt am 1. Januar 2023 in Kraft.</w:t>
      </w:r>
    </w:p>
    <w:p>
      <w:r>
        <w:t xml:space="preserve">(3) Artikel 1 Nummer 5 bis 8 tritt am 1. Juli 2022 in Kraft.</w:t>
      </w:r>
    </w:p>
    <w:p>
      <w:r>
        <w:t xml:space="preserve">(4) Artikel 1 Nummer 2 und 3 tritt am 1. August 2026 in Kraft.</w:t>
      </w:r>
    </w:p>
    <w:p>
      <w:r>
        <w:t xml:space="preserve">(5) Artikel 2 tritt am 1. August 2029 in Kraft.</w:t>
      </w:r>
    </w:p>
    <w:p>
      <w:r>
        <w:t xml:space="preserve">(6) (weggefallen)</w:t>
      </w:r>
    </w:p>
    <w:p>
      <w:r>
        <w:rPr>
          <w:color w:val="555555"/>
          <w:sz w:val="17"/>
        </w:rPr>
        <w:t xml:space="preserve">Zitiervorschlag: Art 7 GaFöG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https://recht.nulegal.eu/gesetze/GaF%C3%B6G/7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