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GZVJu (Bayern) — Führung des Handelsregisters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376 Abs. 1 FamFG in Verbindung mit § 374 Nr. 1 FamFG wird die Führung des Handelsregisters übertragen</w:t>
      </w:r>
    </w:p>
    <w:p>
      <w:r>
        <w:t xml:space="preserve">1. im Landgerichtsbezirk Landshut</w:t>
      </w:r>
    </w:p>
    <w:p>
      <w:r>
        <w:t xml:space="preserve">für die Amtsgerichtsbezirke Erding und Freising</w:t>
      </w:r>
    </w:p>
    <w:p>
      <w:r>
        <w:t xml:space="preserve">dem Amtsgericht München,</w:t>
      </w:r>
    </w:p>
    <w:p>
      <w:r>
        <w:t xml:space="preserve">2. im Landgerichtsbezirk Nürnberg-Fürth</w:t>
      </w:r>
    </w:p>
    <w:p>
      <w:r>
        <w:t xml:space="preserve">für die Amtsgerichtsbezirke Erlangen, Fürth und Neustadt a.d.Aisch</w:t>
      </w:r>
    </w:p>
    <w:p>
      <w:r>
        <w:t xml:space="preserve">dem Amtsgericht Fürth,</w:t>
      </w:r>
    </w:p>
    <w:p>
      <w:r>
        <w:t xml:space="preserve">3. im Landgerichtsbezirk Regensburg</w:t>
      </w:r>
    </w:p>
    <w:p>
      <w:r>
        <w:t xml:space="preserve">für den Amtsgerichtsbezirk Straubing</w:t>
      </w:r>
    </w:p>
    <w:p>
      <w:r>
        <w:t xml:space="preserve">dem Amtsgericht Straubing.</w:t>
      </w:r>
    </w:p>
    <w:p>
      <w:r>
        <w:rPr>
          <w:color w:val="555555"/>
          <w:sz w:val="17"/>
        </w:rPr>
        <w:t xml:space="preserve">Zitiervorschlag: § 9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