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55c GZVJu (Bayern) — Cybercrimesachen bei den Landgerichten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das Landgericht nach § 74 Abs. 1 oder § 74c Abs. 1 Satz 1 Nr. 1 bis 3, 5, 5a und 6 GVG als Gericht des ersten Rechtszugs zuständig ist, werden Cybercrimesachen dem Landgericht Bamberg übertragen. Cybercrimesachen sind allgemeine Strafsachen sowie Wirtschaftsstrafsachen nach § 74c Abs. 1 Satz 1 Nr. 1 bis 3, 5, 5a und 6 GVG, bei denen mindestens eine der folgenden Straftaten Gegenstand der Anklage ist und diese Straftaten bezogen auf den insgesamt zur Last gelegten Sachverhalt nicht nur von untergeordnetem Gewicht sind:</w:t>
      </w:r>
    </w:p>
    <w:p>
      <w:r>
        <w:t xml:space="preserve">1. § 127 des Strafgesetzbuches (StGB),</w:t>
      </w:r>
    </w:p>
    <w:p>
      <w:r>
        <w:t xml:space="preserve">2. §§ 202a bis 202d StGB,</w:t>
      </w:r>
    </w:p>
    <w:p>
      <w:r>
        <w:t xml:space="preserve">3. §§ 270, 274 Abs. 1 Nr. 2 und Abs. 2 StGB,</w:t>
      </w:r>
    </w:p>
    <w:p>
      <w:r>
        <w:t xml:space="preserve">4. §§ 303a und 303b StGB,</w:t>
      </w:r>
    </w:p>
    <w:p>
      <w:r>
        <w:t xml:space="preserve">5. § 146 Abs. 2 StGB,</w:t>
      </w:r>
    </w:p>
    <w:p>
      <w:r>
        <w:t xml:space="preserve">6. §§ 176e, 184b, 184c und 184l StGB,</w:t>
      </w:r>
    </w:p>
    <w:p>
      <w:r>
        <w:t xml:space="preserve">7. § 253 Abs. 4 StGB,</w:t>
      </w:r>
    </w:p>
    <w:p>
      <w:r>
        <w:t xml:space="preserve">8. § 263 Abs. 3 und 5 StGB,</w:t>
      </w:r>
    </w:p>
    <w:p>
      <w:r>
        <w:t xml:space="preserve">9. § 263a in Verbindung mit § 263 Abs. 3 und 5 StGB,</w:t>
      </w:r>
    </w:p>
    <w:p>
      <w:r>
        <w:t xml:space="preserve">10. § 269 StGB,</w:t>
      </w:r>
    </w:p>
    <w:p>
      <w:r>
        <w:t xml:space="preserve">11. § 42 des Bundesdatenschutzgesetzes,</w:t>
      </w:r>
    </w:p>
    <w:p>
      <w:r>
        <w:t xml:space="preserve">12. §§ 29a, 30 und 30a des Betäubungsmittelgesetzes, § 4 Abs. 3 des Neue-psychoaktive-Stoffe-Gesetzes sowie § 95 Abs. 3 AMG,</w:t>
      </w:r>
    </w:p>
    <w:p>
      <w:r>
        <w:t xml:space="preserve">13. §§ 51 und 52 des Waffengesetzes,</w:t>
      </w:r>
    </w:p>
    <w:p>
      <w:r>
        <w:t xml:space="preserve">14. §§ 40 und 42 des Sprengstoffgesetzes,</w:t>
      </w:r>
    </w:p>
    <w:p>
      <w:r>
        <w:t xml:space="preserve">15. §§ 19, 20, 20a und 22a des Gesetzes über die Kontrolle von Kriegswaffen.</w:t>
      </w:r>
    </w:p>
    <w:p>
      <w:r>
        <w:t xml:space="preserve">In den Fällen des Satzes 2 Nr. 5 bis 15 gilt Satz 1 nur, wenn das Internet als Tatmittel eingesetzt wurde und zur Beurteilung des Falles besondere Kenntnisse der Computer- und Informationstechnik erforderlich sind.</w:t>
      </w:r>
    </w:p>
    <w:p>
      <w:r>
        <w:rPr>
          <w:color w:val="555555"/>
          <w:sz w:val="17"/>
        </w:rPr>
        <w:t xml:space="preserve">Zitiervorschlag: § 55c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https://recht.nulegal.eu/gesetze/GZVJu/55c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