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GZVJu (Bayern) — Vollziehung der Hinterlegung und der Herausgabe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Wahrnehmung der Hinterlegungsgeschäfte</w:t>
      </w:r>
    </w:p>
    <w:p>
      <w:r>
        <w:t xml:space="preserve">1. der Vollziehung der Hinterlegung in den Fällen des Art. 12 Nr. 3 des Bayerischen Hinterlegungsgesetzes (BayHintG) sowie</w:t>
      </w:r>
    </w:p>
    <w:p>
      <w:r>
        <w:t xml:space="preserve">2. der Vollziehung der Herausgabe in den Fällen des Art. 23 Nr. 3 BayHintG</w:t>
      </w:r>
    </w:p>
    <w:p>
      <w:r>
        <w:t xml:space="preserve">wird der Hinterlegungsstelle des Amtsgerichts Bamberg übertragen.</w:t>
      </w:r>
    </w:p>
    <w:p>
      <w:r>
        <w:rPr>
          <w:color w:val="555555"/>
          <w:sz w:val="17"/>
        </w:rPr>
        <w:t xml:space="preserve">Zitiervorschlag: § 53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