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50 GZVJu (Bayern) — Entschädigungssachen</w:t>
      </w:r>
    </w:p>
    <w:p>
      <w:r>
        <w:rPr>
          <w:color w:val="555555"/>
          <w:sz w:val="18"/>
        </w:rPr>
        <w:t xml:space="preserve">Gerichtliche Zuständigkeitsverordnung Justiz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Entschädigungssachen im Gebiet des Freistaates Bayern werden dem Landgericht München I (Entschädigungskammer) zugewiesen.</w:t>
      </w:r>
    </w:p>
    <w:p>
      <w:r>
        <w:t xml:space="preserve">(2) Soweit Verfahren bei anderen Gerichten als den Entschädigungsgerichten anhängig geworden sind, ist das Verfahren an das Landgericht München I (Entschädigungskammer) abzugeben.</w:t>
      </w:r>
    </w:p>
    <w:p>
      <w:r>
        <w:rPr>
          <w:color w:val="555555"/>
          <w:sz w:val="17"/>
        </w:rPr>
        <w:t xml:space="preserve">Zitiervorschlag: § 50 GZVJu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https://recht.nulegal.eu/gesetze/GZVJu/50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