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45a GZVJu (Bayern) — Geschäftsgeheimnisstreitsachen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Zuständigkeit für Geschäftsgeheimnisstreitsachen im Sinne des Gesetzes zum Schutz von Geschäftsgeheimnissen wird übertragen</w:t>
      </w:r>
    </w:p>
    <w:p>
      <w:r>
        <w:t xml:space="preserve">1. dem Landgericht München I</w:t>
      </w:r>
    </w:p>
    <w:p>
      <w:r>
        <w:t xml:space="preserve">für den Oberlandesgerichtsbezirk München,</w:t>
      </w:r>
    </w:p>
    <w:p>
      <w:r>
        <w:t xml:space="preserve">2. dem Landgericht Nürnberg-Fürth</w:t>
      </w:r>
    </w:p>
    <w:p>
      <w:r>
        <w:t xml:space="preserve">für die Oberlandesgerichtsbezirke Nürnberg und Bamberg.</w:t>
      </w:r>
    </w:p>
    <w:p>
      <w:r>
        <w:rPr>
          <w:color w:val="555555"/>
          <w:sz w:val="17"/>
        </w:rPr>
        <w:t xml:space="preserve">Zitiervorschlag: § 45a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https://recht.nulegal.eu/gesetze/GZVJu/45a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