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GZVJu (Bayern) — Streitsachen nach dem Gesetz zum Schutz des olympischen Emblems und der olympischen Bezeichnungen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Zuständigkeit für Streitsachen nach dem Gesetz zum Schutz des olympischen Emblems und der olympischen Bezeichnungen wird übertragen</w:t>
      </w:r>
    </w:p>
    <w:p>
      <w:r>
        <w:t xml:space="preserve">1. dem Landgericht München I</w:t>
      </w:r>
    </w:p>
    <w:p>
      <w:r>
        <w:t xml:space="preserve">für die Landgerichtsbezirke des Oberlandesgerichts München,</w:t>
      </w:r>
    </w:p>
    <w:p>
      <w:r>
        <w:t xml:space="preserve">2. dem Landgericht Nürnberg-Fürth</w:t>
      </w:r>
    </w:p>
    <w:p>
      <w:r>
        <w:t xml:space="preserve">für die Landgerichtsbezirke der Oberlandesgerichte Nürnberg und Bamberg.</w:t>
      </w:r>
    </w:p>
    <w:p>
      <w:r>
        <w:rPr>
          <w:color w:val="555555"/>
          <w:sz w:val="17"/>
        </w:rPr>
        <w:t xml:space="preserve">Zitiervorschlag: § 44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