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GZVJu (Bayern) — Gemeinschaftsmarken- und Kennzeichenstreitsachen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Gerichte für Gemeinschaftsmarkenstreitsachen (§ 125e Abs. 1 des Markengesetzes – MarkenG) und für Kennzeichenstreitsachen (§ 140 Abs. 1 MarkenG) werden bestimmt</w:t>
      </w:r>
    </w:p>
    <w:p>
      <w:r>
        <w:t xml:space="preserve">1. das Landgericht München I</w:t>
      </w:r>
    </w:p>
    <w:p>
      <w:r>
        <w:t xml:space="preserve">für die Landgerichtsbezirke des Oberlandesgerichts München,</w:t>
      </w:r>
    </w:p>
    <w:p>
      <w:r>
        <w:t xml:space="preserve">2. das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43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