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GZVJu (Bayern) — Designstreitsachen und Gemeinschaftsgeschmacksmusterstreitverfahren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Designstreitsachen und Gemeinschaftsgeschmacksmusterstreitverfahren wird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41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