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GZVJu (Bayern) — Klagen auf Grund falscher, irreführender oder unterlassener öffentlicher Kapitalmarktinformationen und vertraglicher Erfüllungsansprüche aus Angeboten nach dem Wertpapiererwerbs- und Übernahmegesetz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Entscheidungen nach § 32b Abs. 1 ZPO werden übertragen</w:t>
      </w:r>
    </w:p>
    <w:p>
      <w:r>
        <w:t xml:space="preserve">1. dem Landgericht Augsburg</w:t>
      </w:r>
    </w:p>
    <w:p>
      <w:r>
        <w:t xml:space="preserve">für die Landgerichtsbezirke Augsburg, Kempten (Allgäu) und Memmingen,</w:t>
      </w:r>
    </w:p>
    <w:p>
      <w:r>
        <w:t xml:space="preserve">2. dem Landgericht Landshut</w:t>
      </w:r>
    </w:p>
    <w:p>
      <w:r>
        <w:t xml:space="preserve">für die Landgerichtsbezirke Deggendorf, Landshut und Passau,</w:t>
      </w:r>
    </w:p>
    <w:p>
      <w:r>
        <w:t xml:space="preserve">3. dem Landgericht München I</w:t>
      </w:r>
    </w:p>
    <w:p>
      <w:r>
        <w:t xml:space="preserve">für die Landgerichtsbezirke Ingolstadt, München I, München II und Traunstein,</w:t>
      </w:r>
    </w:p>
    <w:p>
      <w:r>
        <w:t xml:space="preserve">4. dem Landgericht Nürnberg-Fürth</w:t>
      </w:r>
    </w:p>
    <w:p>
      <w:r>
        <w:t xml:space="preserve">für die Landgerichtsbezirke der Oberlandesgerichte Nürnberg und Bamberg.</w:t>
      </w:r>
    </w:p>
    <w:p>
      <w:r>
        <w:rPr>
          <w:color w:val="555555"/>
          <w:sz w:val="17"/>
        </w:rPr>
        <w:t xml:space="preserve">Zitiervorschlag: § 37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https://recht.nulegal.eu/gesetze/GZVJu/37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