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GZVJu (Bayern) — Wertpapiererwerbs- und Übernahmesachen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bürgerlichen Rechtsstreitigkeiten, die sich aus dem Wertpapiererwerbs- und Übernahmegesetz ergeben, werden, soweit aus § 37 nichts anderes folgt,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36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