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GZVJu (Bayern) — Verfahren nach dem Energiewirtschaftsgesetz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Entscheidungen nach § 106 Abs. 1 des Energiewirtschaftsgesetzes (EnWG) werden mit Ausnahme der Verbandsklagen nach dem Verbraucherrechtedurchsetzungsgesetz, die Ansprüche und Rechtsverhältnisse in den in § 102 EnWG aufgeführten bürgerlichen Rechtsstreitigkeiten betreffen, übertragen</w:t>
      </w:r>
    </w:p>
    <w:p>
      <w:r>
        <w:t xml:space="preserve">1. dem Oberlandesgericht München</w:t>
      </w:r>
    </w:p>
    <w:p>
      <w:r>
        <w:t xml:space="preserve">für seinen Bezirk,</w:t>
      </w:r>
    </w:p>
    <w:p>
      <w:r>
        <w:t xml:space="preserve">2. dem Oberlandesgericht Nürnberg</w:t>
      </w:r>
    </w:p>
    <w:p>
      <w:r>
        <w:t xml:space="preserve">für seinen Bezirk und den Bezirk des Oberlandesgerichts Bamberg.</w:t>
      </w:r>
    </w:p>
    <w:p>
      <w:r>
        <w:rPr>
          <w:color w:val="555555"/>
          <w:sz w:val="17"/>
        </w:rPr>
        <w:t xml:space="preserve">Zitiervorschlag: § 34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