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GZVJu (Bayern) — Gesetz gegen Wettbewerbsbeschränkungen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bürgerlichen Rechtsstreitigkeiten, für die nach § 87 des Gesetzes gegen Wettbewerbsbeschränkungen (GWB) ausschließlich die Landgerichte zuständig sind,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t xml:space="preserve">(2) Die Entscheidung über die Berufung gegen Endurteile und über die Beschwerde gegen sonstige Entscheidungen der nach Abs. 1 zuständigen Landgerichte wird übertragen</w:t>
      </w:r>
    </w:p>
    <w:p>
      <w:r>
        <w:t xml:space="preserve">1. dem Oberlandesgericht München</w:t>
      </w:r>
    </w:p>
    <w:p>
      <w:r>
        <w:t xml:space="preserve">für seinen Bezirk,</w:t>
      </w:r>
    </w:p>
    <w:p>
      <w:r>
        <w:t xml:space="preserve">2. dem Oberlandesgericht Nürnberg</w:t>
      </w:r>
    </w:p>
    <w:p>
      <w:r>
        <w:t xml:space="preserve">für seinen Bezirk und den Bezirk des Oberlandesgerichts Bamberg.</w:t>
      </w:r>
    </w:p>
    <w:p>
      <w:r>
        <w:t xml:space="preserve">(3) Die Entscheidung über die sofortige Beschwerde gegen Entscheidungen der Vergabekammer (§ 171 Abs. 1 und 2 GWB) sowie die Entscheidung über Rechtssachen, für die nach § 57 Abs. 2 Satz 2, § 73 Abs. 4, §§ 83, 85 und 86 GWB die Oberlandesgerichte zuständig sind, werden dem Obersten Landesgericht übertragen.</w:t>
      </w:r>
    </w:p>
    <w:p>
      <w:r>
        <w:rPr>
          <w:color w:val="555555"/>
          <w:sz w:val="17"/>
        </w:rPr>
        <w:t xml:space="preserve">Zitiervorschlag: § 33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