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GZVJu (Bayern) — Gerichtliche Entscheidungen im gesellschaftsrechtlichen Spruchverfahren</w:t>
      </w:r>
    </w:p>
    <w:p>
      <w:r>
        <w:rPr>
          <w:color w:val="555555"/>
          <w:sz w:val="18"/>
        </w:rPr>
        <w:t xml:space="preserve">Gerichtliche Zuständigkeitsverordnung Justiz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Entscheidungen nach § 1 des Spruchverfahrensgesetzes (SpruchG) werden übertragen</w:t>
      </w:r>
    </w:p>
    <w:p>
      <w:r>
        <w:t xml:space="preserve">1. dem Landgericht München I</w:t>
      </w:r>
    </w:p>
    <w:p>
      <w:r>
        <w:t xml:space="preserve">für die Landgerichtsbezirke des Oberlandesgerichts München,</w:t>
      </w:r>
    </w:p>
    <w:p>
      <w:r>
        <w:t xml:space="preserve">2. dem Landgericht Nürnberg-Fürth</w:t>
      </w:r>
    </w:p>
    <w:p>
      <w:r>
        <w:t xml:space="preserve">für die Landgerichtsbezirke der Oberlandesgerichte Nürnberg und Bamberg.</w:t>
      </w:r>
    </w:p>
    <w:p>
      <w:r>
        <w:t xml:space="preserve">(2) Die Entscheidung über die Beschwerden nach § 12 Abs. 1 SpruchG wird dem Obersten Landesgericht übertragen.</w:t>
      </w:r>
    </w:p>
    <w:p>
      <w:r>
        <w:rPr>
          <w:color w:val="555555"/>
          <w:sz w:val="17"/>
        </w:rPr>
        <w:t xml:space="preserve">Zitiervorschlag: § 26 GZVJu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https://recht.nulegal.eu/gesetze/GZVJu/26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