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GZVJu (Bayern) — Feststellung der Nichtigkeit und Anfechtung des Beschlusses über die Verwendung des Bilanzgewinns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253 Abs. 2 und § 254 Abs. 1 des Aktiengesetzes sowie § 191 Satz 1 VAG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23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