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GZVJu (Bayern) — Gerichtliche Entscheidungen über die abschließenden Feststellungen der Sonderprüfer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Entscheidungen nach § 260 Abs. 2 Satz 1 des Aktiengesetzes in Verbindung mit § 132 Abs. 1 des Aktiengesetzes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t xml:space="preserve">(2) Die Entscheidung über die Beschwerden nach § 260 Abs. 3 Satz 1 des Aktiengesetzes in Verbindung mit § 99 Abs. 3 Satz 2 des Aktiengesetzes wird dem Obersten Landesgericht übertragen.</w:t>
      </w:r>
    </w:p>
    <w:p>
      <w:r>
        <w:rPr>
          <w:color w:val="555555"/>
          <w:sz w:val="17"/>
        </w:rPr>
        <w:t xml:space="preserve">Zitiervorschlag: § 20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