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1a GZVJu (Bayern) — Commercial Court am Oberlandesgericht München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Bei dem Oberlandesgericht München bestehen zwei Zivilsenate als Commercial Court. Dem Commercial Court wird die Zuständigkeit auch für die Oberlandesgerichtsbezirke Bamberg und Nürnberg übertragen.</w:t>
      </w:r>
    </w:p>
    <w:p>
      <w:r>
        <w:t xml:space="preserve">(2) Der Commercial Court ist zuständig für folgende Sachgebiete:</w:t>
      </w:r>
    </w:p>
    <w:p>
      <w:r>
        <w:t xml:space="preserve">1. Lieferkettenstreitigkeiten zwischen Unternehmern (§ 14 des Bürgerlichen Gesetzbuchs – BGB) mit Ausnahme von Streitigkeiten auf dem Gebiet des gewerblichen Rechtsschutzes, des Urheberrechts sowie über Ansprüche nach dem Gesetz gegen den unlauteren Wettbewerb (UWG),</w:t>
      </w:r>
    </w:p>
    <w:p>
      <w:r>
        <w:t xml:space="preserve">2. Streitigkeiten zwischen Gesellschaft und Mitgliedern des Leitungsorgans oder Aufsichtsrats mit Ausnahme von Streitigkeiten über die Wirksamkeit oder Rechtmäßigkeit von Beschlüssen von Gesellschaftern oder Gesellschaftsorganen, Verfahren nach § 71 Abs. 2 Nr. 4 GVG oder nach § 375 des Gesetzes über das Verfahren in Familiensachen und in den Angelegenheiten der freiwilligen Gerichtsbarkeit (FamFG).</w:t>
      </w:r>
    </w:p>
    <w:p>
      <w:r>
        <w:t xml:space="preserve">Lieferkettenstreitigkeiten sind bürgerliche Rechtsstreitigkeiten zwischen dem Hersteller eines körperlichen Endprodukts und einem unmittelbaren oder mittelbaren Zulieferer sowie zwischen den Zulieferern untereinander. Die Zuständigkeit nach Satz 1 erstreckt sich auch auf Sachgebiete, in denen die ausschließliche Zuständigkeit des Landgerichts oder ein sonstiger ausschließlicher Gerichtsstand besteht.</w:t>
      </w:r>
    </w:p>
    <w:p>
      <w:r>
        <w:t xml:space="preserve">(3) Verfahren vor dem Commercial Court werden unter den Voraussetzungen des § 184a Abs. 3 GVG vollständig in englischer Sprache geführt.</w:t>
      </w:r>
    </w:p>
    <w:p>
      <w:r>
        <w:rPr>
          <w:color w:val="555555"/>
          <w:sz w:val="17"/>
        </w:rPr>
        <w:t xml:space="preserve">Zitiervorschlag: § 1a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https://recht.nulegal.eu/gesetze/GZVJu/1a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