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GZVJu (Bayern) — Klagezulassungsverfahren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148 Abs. 1 des Aktiengesetzes und § 191 Satz 1 VAG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18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