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GZVJu (Bayern) — Zivilsenate des Oberlandesgerichts München in Augsburg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Landgerichtsbezirke Augsburg, Kempten (Allgäu) und Memmingen bestehen sechs Zivilsenate des Oberlandesgerichts München in Augsburg. Zwei Zivilsenate sind zugleich Familiensenate.</w:t>
      </w:r>
    </w:p>
    <w:p>
      <w:r>
        <w:t xml:space="preserve">(2) Den Zivilsenaten in Augsburg werden die Verhandlungen und Entscheidungen über die in § 119 Abs. 1 Nr. 1 Buchst. a und Nr. 2 des Gerichtsverfassungsgesetzes (GVG) aufgeführten Rechtsmittel mit Ausnahme folgender Angelegenheiten übertragen:</w:t>
      </w:r>
    </w:p>
    <w:p>
      <w:r>
        <w:t xml:space="preserve">1. Berufungen und Beschwerden, die Ansprüche aus</w:t>
      </w:r>
    </w:p>
    <w:p>
      <w:r>
        <w:t xml:space="preserve">a) Enteignung,</w:t>
      </w:r>
    </w:p>
    <w:p>
      <w:r>
        <w:t xml:space="preserve">b) enteignendem und enteignungsgleichem Eingriff,</w:t>
      </w:r>
    </w:p>
    <w:p>
      <w:r>
        <w:t xml:space="preserve">c) Aufopferung,</w:t>
      </w:r>
    </w:p>
    <w:p>
      <w:r>
        <w:t xml:space="preserve">d) öffentlich-rechtlicher Verwahrung,</w:t>
      </w:r>
    </w:p>
    <w:p>
      <w:r>
        <w:t xml:space="preserve">e) Amtshaftung und</w:t>
      </w:r>
    </w:p>
    <w:p>
      <w:r>
        <w:t xml:space="preserve">f) nach dem Gesetz über die Entschädigung für Strafverfolgungsmaßnahmen</w:t>
      </w:r>
    </w:p>
    <w:p>
      <w:r>
        <w:t xml:space="preserve">betreffen,</w:t>
      </w:r>
    </w:p>
    <w:p>
      <w:r>
        <w:t xml:space="preserve">2. Berufungen und Beschwerden, die</w:t>
      </w:r>
    </w:p>
    <w:p>
      <w:r>
        <w:t xml:space="preserve">a) das Recht der Allgemeinen Geschäftsbedingungen (§ 1 Unterlassungsklagengesetz – UKlaG),</w:t>
      </w:r>
    </w:p>
    <w:p>
      <w:r>
        <w:t xml:space="preserve">b) das Recht der Arbeitnehmererfindungen,</w:t>
      </w:r>
    </w:p>
    <w:p>
      <w:r>
        <w:t xml:space="preserve">c) das Gebrauchsmusterrecht,</w:t>
      </w:r>
    </w:p>
    <w:p>
      <w:r>
        <w:t xml:space="preserve">d) das Gemeinschaftsmarkenrecht,</w:t>
      </w:r>
    </w:p>
    <w:p>
      <w:r>
        <w:t xml:space="preserve">e) das Design- oder Gemeinschaftsgeschmacksmusterrecht,</w:t>
      </w:r>
    </w:p>
    <w:p>
      <w:r>
        <w:t xml:space="preserve">f) das Halbleiterschutzrecht,</w:t>
      </w:r>
    </w:p>
    <w:p>
      <w:r>
        <w:t xml:space="preserve">g) das Kennzeichenrecht,</w:t>
      </w:r>
    </w:p>
    <w:p>
      <w:r>
        <w:t xml:space="preserve">h) das Patentrecht,</w:t>
      </w:r>
    </w:p>
    <w:p>
      <w:r>
        <w:t xml:space="preserve">i) das Sortenschutzrecht,</w:t>
      </w:r>
    </w:p>
    <w:p>
      <w:r>
        <w:t xml:space="preserve">k) das Urheberrecht,</w:t>
      </w:r>
    </w:p>
    <w:p>
      <w:r>
        <w:t xml:space="preserve">l) das Verlagsrecht,</w:t>
      </w:r>
    </w:p>
    <w:p>
      <w:r>
        <w:t xml:space="preserve">m) das Wertpapierbereinigungsrecht,</w:t>
      </w:r>
    </w:p>
    <w:p>
      <w:r>
        <w:t xml:space="preserve">n) den unlauteren Wettbewerb,</w:t>
      </w:r>
    </w:p>
    <w:p>
      <w:r>
        <w:t xml:space="preserve">o) Streitigkeiten über Ansprüche – gleich aus welchem Rechtsgrund – aus bereits bewirkten oder erst bevorstehenden Veröffentlichungen durch Druckerzeugnisse, Bild- und Tonträger jeder Art, insbesondere Presse, Rundfunk (Hörfunk, Fernsehen), Film und Internet,</w:t>
      </w:r>
    </w:p>
    <w:p>
      <w:r>
        <w:t xml:space="preserve">p) erbrechtliche Streitigkeiten und</w:t>
      </w:r>
    </w:p>
    <w:p>
      <w:r>
        <w:t xml:space="preserve">q) insolvenzbezogene Streitigkeiten und Anfechtungssachen nach dem Anfechtungsgesetz</w:t>
      </w:r>
    </w:p>
    <w:p>
      <w:r>
        <w:t xml:space="preserve">betreffen, und</w:t>
      </w:r>
    </w:p>
    <w:p>
      <w:r>
        <w:t xml:space="preserve">3. Erinnerungen und Beschwerden in Kostensachen, soweit es sich nicht um die Festsetzung des Streitwerts handelt.</w:t>
      </w:r>
    </w:p>
    <w:p>
      <w:r>
        <w:rPr>
          <w:color w:val="555555"/>
          <w:sz w:val="17"/>
        </w:rPr>
        <w:t xml:space="preserve">Zitiervorschlag: § 1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