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GWStatG — Auskunftspflicht</w:t>
      </w:r>
    </w:p>
    <w:p>
      <w:r>
        <w:rPr>
          <w:color w:val="555555"/>
          <w:sz w:val="18"/>
        </w:rPr>
        <w:t xml:space="preserve">Gesetz über die Statistik zu globalen Wertschöpfungsketten</w:t>
      </w:r>
    </w:p>
    <w:p>
      <w:r>
        <w:rPr>
          <w:color w:val="555555"/>
          <w:sz w:val="18"/>
        </w:rPr>
        <w:t xml:space="preserve">Stand: 24.01.2024 (konsolidierte Textfassung, kein amtliches Inkrafttretensdatum)</w:t>
      </w:r>
    </w:p>
    <w:p>
      <w:r>
        <w:t xml:space="preserve">Für die Erhebung besteht Auskunftspflicht. Auskunftspflichtig sind die Inhaber und Inhaberinnen oder die Leiter und Leiterinnen der Erhebungseinheiten. Die Auskunftserteilung zu den Angaben nach § 7 Nummer 2 ist freiwillig.</w:t>
      </w:r>
    </w:p>
    <w:p>
      <w:r>
        <w:rPr>
          <w:color w:val="555555"/>
          <w:sz w:val="17"/>
        </w:rPr>
        <w:t xml:space="preserve">Zitiervorschlag: § 8 GWStatG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https://recht.nulegal.eu/gesetze/GWStatG/8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