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GWStatG — Periodizität und Berichtszeitraum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(1) Die Erhebung wird dreijährlich durchgeführt.</w:t>
      </w:r>
    </w:p>
    <w:p>
      <w:r>
        <w:t xml:space="preserve">(2) Der Berichtszeitraum für eine Erhebung umfasst drei Kalenderjahre.</w:t>
      </w:r>
    </w:p>
    <w:p>
      <w:r>
        <w:t xml:space="preserve">(3) Der erste Berichtszeitraum umfasst die Kalenderjahre 2021, 2022 und 2023.</w:t>
      </w:r>
    </w:p>
    <w:p>
      <w:r>
        <w:rPr>
          <w:color w:val="555555"/>
          <w:sz w:val="17"/>
        </w:rPr>
        <w:t xml:space="preserve">Zitiervorschlag: § 4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