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GWStatG — Zweck der Statistik, Anordnung als Bundesstatistik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(1) Die in diesem Gesetz geregelte statistische Erhebung dient</w:t>
      </w:r>
    </w:p>
    <w:p>
      <w:pPr>
        <w:ind w:left="420"/>
      </w:pPr>
      <w:r>
        <w:t xml:space="preserve">1. der Gewinnung von Informationen über die Einbindung von Unternehmen in globale Wertschöpfungsketten,</w:t>
      </w:r>
    </w:p>
    <w:p>
      <w:pPr>
        <w:ind w:left="420"/>
      </w:pPr>
      <w:r>
        <w:t xml:space="preserve">2. der Erfüllung von Datenlieferverpflichtungen, die sich aus der Verordnung (EU) 2019/2152 des Europäischen Parlaments und des Rates vom 27. November 2019 über europäische Unternehmensstatistiken, zur Aufhebung von zehn Rechtsakten im Bereich Unternehmensstatistiken (ABl. L 327 vom 17.12.2019, S. 1), die durch die Delegierte Verordnung (EU) 2021/1704 (ABl. L 339 vom 24.9.2021, S. 33) geändert worden ist, in der jeweils geltenden Fassung sowie aus den auf dieser Verordnung basierenden Rechtsakten ergeben.</w:t>
      </w:r>
    </w:p>
    <w:p>
      <w:r>
        <w:t xml:space="preserve">(2) Die Erhebung wird als Bundesstatistik durchgeführt.</w:t>
      </w:r>
    </w:p>
    <w:p>
      <w:r>
        <w:rPr>
          <w:color w:val="555555"/>
          <w:sz w:val="17"/>
        </w:rPr>
        <w:t xml:space="preserve">Zitiervorschlag: § 1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