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Inhaltsübersicht GWKHV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Abschnitt 1Allgemeine Vorschriften</w:t>
      </w:r>
    </w:p>
    <w:p>
      <w:r>
        <w:rPr>
          <w:rFonts w:ascii="Courier New" w:hAnsi="Courier New"/>
          <w:sz w:val="17"/>
        </w:rPr>
        <w:t xml:space="preserve">§ 1    Gegenstand dieser Verordnung</w:t>
      </w:r>
    </w:p>
    <w:p>
      <w:r>
        <w:rPr>
          <w:rFonts w:ascii="Courier New" w:hAnsi="Courier New"/>
          <w:sz w:val="17"/>
        </w:rPr>
        <w:t xml:space="preserve">§ 2    Begriffsbestimmungen</w:t>
      </w:r>
    </w:p>
    <w:p>
      <w:r>
        <w:t xml:space="preserve">Abschnitt 2Herkunftsnachweisregister</w:t>
      </w:r>
    </w:p>
    <w:p>
      <w:r>
        <w:rPr>
          <w:rFonts w:ascii="Courier New" w:hAnsi="Courier New"/>
          <w:sz w:val="17"/>
        </w:rPr>
        <w:t xml:space="preserve">§ 3    Zuständige Behörde</w:t>
      </w:r>
    </w:p>
    <w:p>
      <w:r>
        <w:rPr>
          <w:rFonts w:ascii="Courier New" w:hAnsi="Courier New"/>
          <w:sz w:val="17"/>
        </w:rPr>
        <w:t xml:space="preserve">§ 4    Elektronisches System</w:t>
      </w:r>
    </w:p>
    <w:p>
      <w:r>
        <w:rPr>
          <w:rFonts w:ascii="Courier New" w:hAnsi="Courier New"/>
          <w:sz w:val="17"/>
        </w:rPr>
        <w:t xml:space="preserve">§ 5    Gemeinsame Datenbank</w:t>
      </w:r>
    </w:p>
    <w:p>
      <w:r>
        <w:rPr>
          <w:rFonts w:ascii="Courier New" w:hAnsi="Courier New"/>
          <w:sz w:val="17"/>
        </w:rPr>
        <w:t xml:space="preserve">§ 6    Rechts- und Fachaufsicht über die zuständige Behörde</w:t>
      </w:r>
    </w:p>
    <w:p>
      <w:r>
        <w:t xml:space="preserve">Abschnitt 3Konto</w:t>
      </w:r>
    </w:p>
    <w:p>
      <w:r>
        <w:rPr>
          <w:rFonts w:ascii="Courier New" w:hAnsi="Courier New"/>
          <w:sz w:val="17"/>
        </w:rPr>
        <w:t xml:space="preserve">§ 7    Konto</w:t>
      </w:r>
    </w:p>
    <w:p>
      <w:r>
        <w:rPr>
          <w:rFonts w:ascii="Courier New" w:hAnsi="Courier New"/>
          <w:sz w:val="17"/>
        </w:rPr>
        <w:t xml:space="preserve">§ 8    Kommunikationssystem</w:t>
      </w:r>
    </w:p>
    <w:p>
      <w:r>
        <w:rPr>
          <w:rFonts w:ascii="Courier New" w:hAnsi="Courier New"/>
          <w:sz w:val="17"/>
        </w:rPr>
        <w:t xml:space="preserve">§ 9    Kontoeröffnung und -führung</w:t>
      </w:r>
    </w:p>
    <w:p>
      <w:r>
        <w:t xml:space="preserve">Abschnitt 4Registrierung von Anlagen</w:t>
      </w:r>
    </w:p>
    <w:p>
      <w:r>
        <w:rPr>
          <w:rFonts w:ascii="Courier New" w:hAnsi="Courier New"/>
          <w:sz w:val="17"/>
        </w:rPr>
        <w:t xml:space="preserve">§ 10    Grundsätze der Anlagenregistrierung</w:t>
      </w:r>
    </w:p>
    <w:p>
      <w:r>
        <w:rPr>
          <w:rFonts w:ascii="Courier New" w:hAnsi="Courier New"/>
          <w:sz w:val="17"/>
        </w:rPr>
        <w:t xml:space="preserve">§ 11    Antrag auf Registrierung</w:t>
      </w:r>
    </w:p>
    <w:p>
      <w:r>
        <w:rPr>
          <w:rFonts w:ascii="Courier New" w:hAnsi="Courier New"/>
          <w:sz w:val="17"/>
        </w:rPr>
        <w:t xml:space="preserve">§ 12    Prüfung des Antrags</w:t>
      </w:r>
    </w:p>
    <w:p>
      <w:r>
        <w:rPr>
          <w:rFonts w:ascii="Courier New" w:hAnsi="Courier New"/>
          <w:sz w:val="17"/>
        </w:rPr>
        <w:t xml:space="preserve">§ 13    Anlagenkennnummer</w:t>
      </w:r>
    </w:p>
    <w:p>
      <w:r>
        <w:t xml:space="preserve">Abschnitt 5HerkunftsnachweiseUnterabschnitt 1Allgemeine Vorschriften</w:t>
      </w:r>
    </w:p>
    <w:p>
      <w:r>
        <w:rPr>
          <w:rFonts w:ascii="Courier New" w:hAnsi="Courier New"/>
          <w:sz w:val="17"/>
        </w:rPr>
        <w:t xml:space="preserve">§ 14    Ausstellung und Form eines Herkunftsnachweises</w:t>
      </w:r>
    </w:p>
    <w:p>
      <w:r>
        <w:rPr>
          <w:rFonts w:ascii="Courier New" w:hAnsi="Courier New"/>
          <w:sz w:val="17"/>
        </w:rPr>
        <w:t xml:space="preserve">§ 15    Antrag auf Ausstellung</w:t>
      </w:r>
    </w:p>
    <w:p>
      <w:r>
        <w:rPr>
          <w:rFonts w:ascii="Courier New" w:hAnsi="Courier New"/>
          <w:sz w:val="17"/>
        </w:rPr>
        <w:t xml:space="preserve">§ 16    Ausstellung eines Herkunftsnachweises für strombasiertes Gas oder strombasierte thermische Energie</w:t>
      </w:r>
    </w:p>
    <w:p>
      <w:r>
        <w:rPr>
          <w:rFonts w:ascii="Courier New" w:hAnsi="Courier New"/>
          <w:sz w:val="17"/>
        </w:rPr>
        <w:t xml:space="preserve">§ 17    Mindestangaben in Herkunftsnachweisen</w:t>
      </w:r>
    </w:p>
    <w:p>
      <w:r>
        <w:rPr>
          <w:rFonts w:ascii="Courier New" w:hAnsi="Courier New"/>
          <w:sz w:val="17"/>
        </w:rPr>
        <w:t xml:space="preserve">§ 18    Zusätzliche Angaben in Herkunftsnachweisen</w:t>
      </w:r>
    </w:p>
    <w:p>
      <w:r>
        <w:rPr>
          <w:rFonts w:ascii="Courier New" w:hAnsi="Courier New"/>
          <w:sz w:val="17"/>
        </w:rPr>
        <w:t xml:space="preserve">§ 19    Anerkennung ausländischer Herkunftsnachweise</w:t>
      </w:r>
    </w:p>
    <w:p>
      <w:r>
        <w:rPr>
          <w:rFonts w:ascii="Courier New" w:hAnsi="Courier New"/>
          <w:sz w:val="17"/>
        </w:rPr>
        <w:t xml:space="preserve">§ 20    Übertragung</w:t>
      </w:r>
    </w:p>
    <w:p>
      <w:r>
        <w:rPr>
          <w:rFonts w:ascii="Courier New" w:hAnsi="Courier New"/>
          <w:sz w:val="17"/>
        </w:rPr>
        <w:t xml:space="preserve">§ 21    Verwendung, Entwertung und Erklärung des Verfalls</w:t>
      </w:r>
    </w:p>
    <w:p>
      <w:r>
        <w:rPr>
          <w:rFonts w:ascii="Courier New" w:hAnsi="Courier New"/>
          <w:sz w:val="17"/>
        </w:rPr>
        <w:t xml:space="preserve">§ 22    Löschung</w:t>
      </w:r>
    </w:p>
    <w:p>
      <w:r>
        <w:t xml:space="preserve">Unterabschnitt 2Besondere Anforderungen an die Ausstellung und Entwertung von Herkunftsnachweisen für Gas</w:t>
      </w:r>
    </w:p>
    <w:p>
      <w:r>
        <w:rPr>
          <w:rFonts w:ascii="Courier New" w:hAnsi="Courier New"/>
          <w:sz w:val="17"/>
        </w:rPr>
        <w:t xml:space="preserve">§ 23    Ausstellung von Herkunftsnachweisen für Gas</w:t>
      </w:r>
    </w:p>
    <w:p>
      <w:r>
        <w:rPr>
          <w:rFonts w:ascii="Courier New" w:hAnsi="Courier New"/>
          <w:sz w:val="17"/>
        </w:rPr>
        <w:t xml:space="preserve">§ 24    Unterscheidbarkeit</w:t>
      </w:r>
    </w:p>
    <w:p>
      <w:r>
        <w:rPr>
          <w:rFonts w:ascii="Courier New" w:hAnsi="Courier New"/>
          <w:sz w:val="17"/>
        </w:rPr>
        <w:t xml:space="preserve">§ 25    Zusätzliche Mindestangaben im Herkunftsnachweis für Gas</w:t>
      </w:r>
    </w:p>
    <w:p>
      <w:r>
        <w:rPr>
          <w:rFonts w:ascii="Courier New" w:hAnsi="Courier New"/>
          <w:sz w:val="17"/>
        </w:rPr>
        <w:t xml:space="preserve">§ 26    Zusätzliche Angaben im Herkunftsnachweis für Gas</w:t>
      </w:r>
    </w:p>
    <w:p>
      <w:r>
        <w:rPr>
          <w:rFonts w:ascii="Courier New" w:hAnsi="Courier New"/>
          <w:sz w:val="17"/>
        </w:rPr>
        <w:t xml:space="preserve">§ 27    Entwertung bei netzgebundenem Gasverbrauch</w:t>
      </w:r>
    </w:p>
    <w:p>
      <w:r>
        <w:t xml:space="preserve">Unterabschnitt 3Besondere Anforderungen an die Ausstellung und Entwertung von Herkunftsnachweisen für Wärme oder Kälte</w:t>
      </w:r>
    </w:p>
    <w:p>
      <w:r>
        <w:rPr>
          <w:rFonts w:ascii="Courier New" w:hAnsi="Courier New"/>
          <w:sz w:val="17"/>
        </w:rPr>
        <w:t xml:space="preserve">§ 28    Ausstellung und Inhalt von Herkunftsnachweisen für Wärme oder Kälte</w:t>
      </w:r>
    </w:p>
    <w:p>
      <w:r>
        <w:rPr>
          <w:rFonts w:ascii="Courier New" w:hAnsi="Courier New"/>
          <w:sz w:val="17"/>
        </w:rPr>
        <w:t xml:space="preserve">§ 29    Ausstellung eines Herkunftsnachweises für Wärme oder Kälte für strombasierte thermische Energie</w:t>
      </w:r>
    </w:p>
    <w:p>
      <w:r>
        <w:rPr>
          <w:rFonts w:ascii="Courier New" w:hAnsi="Courier New"/>
          <w:sz w:val="17"/>
        </w:rPr>
        <w:t xml:space="preserve">§ 30    Ausstellung eines Herkunftsnachweises für Wärme oder Kälte für gasbasierte thermische Energie</w:t>
      </w:r>
    </w:p>
    <w:p>
      <w:r>
        <w:rPr>
          <w:rFonts w:ascii="Courier New" w:hAnsi="Courier New"/>
          <w:sz w:val="17"/>
        </w:rPr>
        <w:t xml:space="preserve">§ 31    Unterscheidbarkeit</w:t>
      </w:r>
    </w:p>
    <w:p>
      <w:r>
        <w:rPr>
          <w:rFonts w:ascii="Courier New" w:hAnsi="Courier New"/>
          <w:sz w:val="17"/>
        </w:rPr>
        <w:t xml:space="preserve">§ 32    Zusätzliche Mindestangaben in Herkunftsnachweisen für Wärme oder Kälte</w:t>
      </w:r>
    </w:p>
    <w:p>
      <w:r>
        <w:rPr>
          <w:rFonts w:ascii="Courier New" w:hAnsi="Courier New"/>
          <w:sz w:val="17"/>
        </w:rPr>
        <w:t xml:space="preserve">§ 33    Zusätzliche Angaben in Herkunftsnachweisen für Wärme oder Kälte</w:t>
      </w:r>
    </w:p>
    <w:p>
      <w:r>
        <w:rPr>
          <w:rFonts w:ascii="Courier New" w:hAnsi="Courier New"/>
          <w:sz w:val="17"/>
        </w:rPr>
        <w:t xml:space="preserve">§ 34    Vermarktung thermischer Energie</w:t>
      </w:r>
    </w:p>
    <w:p>
      <w:r>
        <w:rPr>
          <w:rFonts w:ascii="Courier New" w:hAnsi="Courier New"/>
          <w:sz w:val="17"/>
        </w:rPr>
        <w:t xml:space="preserve">§ 35    Entwertung</w:t>
      </w:r>
    </w:p>
    <w:p>
      <w:r>
        <w:t xml:space="preserve">Abschnitt 6Verarbeitung von Daten</w:t>
      </w:r>
    </w:p>
    <w:p>
      <w:r>
        <w:rPr>
          <w:rFonts w:ascii="Courier New" w:hAnsi="Courier New"/>
          <w:sz w:val="17"/>
        </w:rPr>
        <w:t xml:space="preserve">§ 36    Datenschutz und Datensicherheit</w:t>
      </w:r>
    </w:p>
    <w:p>
      <w:r>
        <w:rPr>
          <w:rFonts w:ascii="Courier New" w:hAnsi="Courier New"/>
          <w:sz w:val="17"/>
        </w:rPr>
        <w:t xml:space="preserve">§ 37    Erforderlichkeit der Datenverarbeitung</w:t>
      </w:r>
    </w:p>
    <w:p>
      <w:r>
        <w:rPr>
          <w:rFonts w:ascii="Courier New" w:hAnsi="Courier New"/>
          <w:sz w:val="17"/>
        </w:rPr>
        <w:t xml:space="preserve">§ 38    Löschung von Daten</w:t>
      </w:r>
    </w:p>
    <w:p>
      <w:r>
        <w:rPr>
          <w:rFonts w:ascii="Courier New" w:hAnsi="Courier New"/>
          <w:sz w:val="17"/>
        </w:rPr>
        <w:t xml:space="preserve">§ 39    Überprüfung der gespeicherten Daten; Datenübermittlung</w:t>
      </w:r>
    </w:p>
    <w:p>
      <w:r>
        <w:t xml:space="preserve">Abschnitt 7Verordnungsermächtigung; Schlussvorschrift</w:t>
      </w:r>
    </w:p>
    <w:p>
      <w:r>
        <w:rPr>
          <w:rFonts w:ascii="Courier New" w:hAnsi="Courier New"/>
          <w:sz w:val="17"/>
        </w:rPr>
        <w:t xml:space="preserve">§ 40    Subdelegation an das Umweltbundesamt</w:t>
      </w:r>
    </w:p>
    <w:p>
      <w:r>
        <w:rPr>
          <w:rFonts w:ascii="Courier New" w:hAnsi="Courier New"/>
          <w:sz w:val="17"/>
        </w:rPr>
        <w:t xml:space="preserve">§ 41    Beleihung</w:t>
      </w:r>
    </w:p>
    <w:p>
      <w:r>
        <w:rPr>
          <w:rFonts w:ascii="Courier New" w:hAnsi="Courier New"/>
          <w:sz w:val="17"/>
        </w:rPr>
        <w:t xml:space="preserve">§ 42    Ordnungswidrigkeiten</w:t>
      </w:r>
    </w:p>
    <w:p>
      <w:r>
        <w:rPr>
          <w:rFonts w:ascii="Courier New" w:hAnsi="Courier New"/>
          <w:sz w:val="17"/>
        </w:rPr>
        <w:t xml:space="preserve">§ 43    Evaluierung</w:t>
      </w:r>
    </w:p>
    <w:p>
      <w:r>
        <w:rPr>
          <w:rFonts w:ascii="Courier New" w:hAnsi="Courier New"/>
          <w:sz w:val="17"/>
        </w:rPr>
        <w:t xml:space="preserve">§ 44    Inkrafttreten</w:t>
      </w:r>
    </w:p>
    <w:p>
      <w:r>
        <w:rPr>
          <w:color w:val="555555"/>
          <w:sz w:val="17"/>
        </w:rPr>
        <w:t xml:space="preserve">Zitiervorschlag: Inhaltsübersicht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https://recht.nulegal.eu/gesetze/GWKHV/inhaltsuebersicht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Inhaltsübersicht GWKHV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