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GWKHV — Rechts- und Fachaufsicht über die zuständige Behörde</w:t>
      </w:r>
    </w:p>
    <w:p>
      <w:r>
        <w:rPr>
          <w:color w:val="555555"/>
          <w:sz w:val="18"/>
        </w:rPr>
        <w:t xml:space="preserve">Gas-Wärme-Kälte-Herkunftsnachweisregister-Verordnung</w:t>
      </w:r>
    </w:p>
    <w:p>
      <w:r>
        <w:rPr>
          <w:color w:val="555555"/>
          <w:sz w:val="18"/>
        </w:rPr>
        <w:t xml:space="preserve">Stand: 01.05.2024 (konsolidierte Textfassung, kein amtliches Inkrafttretensdatum)</w:t>
      </w:r>
    </w:p>
    <w:p>
      <w:r>
        <w:t xml:space="preserve">Bei der Durchführung dieser Verordnung unterliegt das Umweltbundesamt der Rechts- und Fachaufsicht durch das Bundesministerium für Wirtschaft und Klimaschutz.</w:t>
      </w:r>
    </w:p>
    <w:p>
      <w:r>
        <w:rPr>
          <w:color w:val="555555"/>
          <w:sz w:val="17"/>
        </w:rPr>
        <w:t xml:space="preserve">Zitiervorschlag: § 6 GWKHV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https://recht.nulegal.eu/gesetze/GWKHV/6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