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GWKHV — Gemeinsame Datenbank</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darf das Herkunftsnachweisregister für Gas, das Herkunftsnachweisregister für Wärme oder Kälte sowie das Herkunftsnachweisregister nach § 79 des Erneuerbare-Energien-Gesetzes in derselben elektronischen Datenbank betreiben. Innerhalb dieser Datenbank müssen die in Satz 1 genannten Herkunftsnachweisregister jedoch getrennt voneinander betrieben werden.</w:t>
      </w:r>
    </w:p>
    <w:p>
      <w:r>
        <w:t xml:space="preserve">(2) Das Umweltbundesamt darf das Herkunftsnachweisregister für Gas mit dem zentralen Register für erneuerbare Kraftstoffe nicht biogenen Ursprungs nach § 44 Absatz 1 der Verordnung zur Anrechnung von strombasierten Kraftstoffen und mitverarbeiteten biogenen Ölen auf die Treibhausgasquote vom 17. April 2024 (BGBl. 2024 I Nr. 131) in derselben elektronischen Datenbank betreiben, sofern gewährleistet ist, dass der Herkunftsnachweis für Gas sowie der Nachweis nach § 16 der Verordnung zur Anrechnung von strombasierten Kraftstoffen und mitverarbeiteten biogenen Ölen auf die Treibhausgasquote jeweils als eigenständige Nachweisinstrumente genutzt werden können. Innerhalb der Datenbank müssen die beiden Register getrennt voneinander betrieben werden.</w:t>
      </w:r>
    </w:p>
    <w:p>
      <w:r>
        <w:rPr>
          <w:color w:val="555555"/>
          <w:sz w:val="17"/>
        </w:rPr>
        <w:t xml:space="preserve">Zitiervorschlag: § 5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