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GWKHV — Ordnungswidrigkeiten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(1) Ordnungswidrig im Sinne des § 8 Absatz 1 Nummer 1 des Herkunftsnachweisregistergesetzes handelt, wer vorsätzlich oder fahrlässig entgegen § 15 Absatz 1 Satz 2, auch in Verbindung mit § 20 Absatz 2 Nummer 1, oder entgegen § 20 Absatz 2 Nummer 2, jeweils auch in Verbindung mit einer Rechtsverordnung nach § 40 Nummer 5 Buchstabe a einen dort genannten Herkunftsnachweis oder dessen Übertragung beantragt.</w:t>
      </w:r>
    </w:p>
    <w:p>
      <w:r>
        <w:t xml:space="preserve">(2) Ordnungswidrig im Sinne des § 8 Absatz 1 Nummer 2 des Herkunftsnachweisregistergesetzes handelt, wer vorsätzlich oder fahrlässig</w:t>
      </w:r>
    </w:p>
    <w:p>
      <w:pPr>
        <w:ind w:left="420"/>
      </w:pPr>
      <w:r>
        <w:t xml:space="preserve">1. entgegen § 9 Absatz 1, § 11 Absatz 1, 2 oder 3, § 15 Absatz 3, 4 oder 5, § 16 Absatz 3 oder § 30 Absatz 2, jeweils auch in Verbindung mit einer Rechtsverordnung nach § 40 Nummer 6, eine dort genannte Angabe nicht richtig oder nicht vollständig übermittelt,</w:t>
      </w:r>
    </w:p>
    <w:p>
      <w:pPr>
        <w:ind w:left="420"/>
      </w:pPr>
      <w:r>
        <w:t xml:space="preserve">2. einer vollziehbaren Anordnung nach § 12 Absatz 1 Satz 1, Absatz 2 Satz 1, Absatz 3 Satz 1 oder § 19 Absatz 3 Satz 2 zuwiderhandelt und</w:t>
      </w:r>
    </w:p>
    <w:p>
      <w:pPr>
        <w:ind w:left="420"/>
      </w:pPr>
      <w:r>
        <w:t xml:space="preserve">3. entgegen § 23 Absatz 2 Satz 2 oder § 34 Absatz 2 Satz 2, jeweils auch in Verbindung mit einer Rechtsverordnung nach § 40 Nummer 6, eine Anzeige nicht, nicht richtig, nicht vollständig oder nicht rechtzeitig erstattet.</w:t>
      </w:r>
    </w:p>
    <w:p>
      <w:r>
        <w:rPr>
          <w:color w:val="555555"/>
          <w:sz w:val="17"/>
        </w:rPr>
        <w:t xml:space="preserve">Zitiervorschlag: § 42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