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GWKHV — Überprüfung der gespeicherten Daten; Datenübermittlung</w:t>
      </w:r>
    </w:p>
    <w:p>
      <w:r>
        <w:rPr>
          <w:color w:val="555555"/>
          <w:sz w:val="18"/>
        </w:rPr>
        <w:t xml:space="preserve">Gas-Wärme-Kälte-Herkunftsnachweisregister-Verordnung</w:t>
      </w:r>
    </w:p>
    <w:p>
      <w:r>
        <w:rPr>
          <w:color w:val="555555"/>
          <w:sz w:val="18"/>
        </w:rPr>
        <w:t xml:space="preserve">Stand: 06.08.2026 (konsolidierte Textfassung, kein amtliches Inkrafttretensdatum)</w:t>
      </w:r>
    </w:p>
    <w:p>
      <w:r>
        <w:t xml:space="preserve">(1) Für einen effizienten Registerbetrieb gleicht das Umweltbundesamt die im Herkunftsnachweisregister für Gas und die im Herkunftsnachweisregister für Wärme oder Kälte gespeicherten Daten, einschließlich personenbezogener Daten, miteinander ab und tauscht sie zwischen diesen Registern aus im Hinblick auf die Erzeugung von</w:t>
      </w:r>
    </w:p>
    <w:p>
      <w:pPr>
        <w:ind w:left="420"/>
      </w:pPr>
      <w:r>
        <w:t xml:space="preserve">1. Gas aus oder auf Basis von thermischer Energie sowie</w:t>
      </w:r>
    </w:p>
    <w:p>
      <w:pPr>
        <w:ind w:left="420"/>
      </w:pPr>
      <w:r>
        <w:t xml:space="preserve">2. thermischer Energie aus Gas aus oder auf Basis von erneuerbarer Energie oder kohlenstoffarmem Gas.</w:t>
      </w:r>
    </w:p>
    <w:p>
      <w:r>
        <w:t xml:space="preserve">(2) Das Umweltbundesamt kann die in den Herkunftsnachweisregistern nach § 3 eingetragenen Daten, einschließlich personenbezogener Daten, mit den Daten abgleichen, die</w:t>
      </w:r>
    </w:p>
    <w:p>
      <w:pPr>
        <w:ind w:left="420"/>
      </w:pPr>
      <w:r>
        <w:t xml:space="preserve">1. im Herkunftsnachweisregister nach § 79 des Erneuerbare-Energien-Gesetzes gespeichert sind,</w:t>
      </w:r>
    </w:p>
    <w:p>
      <w:pPr>
        <w:ind w:left="420"/>
      </w:pPr>
      <w:r>
        <w:t xml:space="preserve">2. im Marktstammdatenregister nach § 111e Absatz 1 des Energiewirtschaftsgesetzes, das zuletzt durch Artikel 1 des Gesetzes vom 5. Februar 2024 (BGBl. 2024 I Nr. 32) geändert worden ist, gespeichert sind,</w:t>
      </w:r>
    </w:p>
    <w:p>
      <w:pPr>
        <w:ind w:left="420"/>
      </w:pPr>
      <w:r>
        <w:t xml:space="preserve">3. im Register Biostrom nach § 44 der Biomassestrom-Nachhaltigkeitsverordnung gespeichert sind,</w:t>
      </w:r>
    </w:p>
    <w:p>
      <w:pPr>
        <w:ind w:left="420"/>
      </w:pPr>
      <w:r>
        <w:t xml:space="preserve">4. im Register Biokraftstoffe nach § 42 der Biokraftstoff-Nachhaltigkeitsverordnung gespeichert sind,</w:t>
      </w:r>
    </w:p>
    <w:p>
      <w:pPr>
        <w:ind w:left="420"/>
      </w:pPr>
      <w:r>
        <w:t xml:space="preserve">5. der zuständigen Stelle nach § 37d Absatz 1 des Bundes-Immissionsschutzgesetzes in der Fassung der Bekanntmachung vom 17. Mai 2013 (BGBl. I S. 1274; 2021 I S. 123), das zuletzt durch Artikel 11 Absatz 3 des Gesetzes vom 26. Juli 2023 (BGBl. 2023 I Nr. 202) geändert worden ist, vorliegen,</w:t>
      </w:r>
    </w:p>
    <w:p>
      <w:pPr>
        <w:ind w:left="420"/>
      </w:pPr>
      <w:r>
        <w:t xml:space="preserve">6. in der Datenbank Nachhaltige-Biomasse-Systeme gespeichert sind,</w:t>
      </w:r>
    </w:p>
    <w:p>
      <w:pPr>
        <w:ind w:left="420"/>
      </w:pPr>
      <w:r>
        <w:t xml:space="preserve">7. im Biogasregister der Deutschen Energie-Agentur gespeichert sind oder</w:t>
      </w:r>
    </w:p>
    <w:p>
      <w:pPr>
        <w:ind w:left="420"/>
      </w:pPr>
      <w:r>
        <w:t xml:space="preserve">8. das Bundesamt für Wirtschaft und Ausfuhrkontrolle im Rahmen der Durchführung seiner Aufgaben nach dem Kraft-Wärme-Kopplungsgesetz oder nach der Richtlinie für die Bundesförderung für effiziente Wärmenetze „BEW“ vom 1. August 2022 (Banz AT 18.08.2022 B1) erhoben und gespeichert hat.</w:t>
      </w:r>
    </w:p>
    <w:p>
      <w:r>
        <w:t xml:space="preserve">Das Umweltbundesamt kann Daten nach den Sätzen 3 und 4 mit dem Betreiber eines Registers oder einer Datenbank austauschen, soweit dies zur Gewährleistung der Sicherheit, der Richtigkeit oder der Zuverlässigkeit der Herkunftsnachweisregister nach § 3 erforderlich ist. Zu diesem Zwecke darf das Umweltbundesamt Daten aus einem Register oder einer Datenbank nach Satz 1 erheben, speichern und verwenden, soweit diesbezüglich eine Mitteilungspflicht eines Registerteilnehmers nach dieser Verordnung besteht. Das Umweltbundesamt darf Daten an den Betreiber eines Registers oder einer Datenbank nach Satz 1 übermitteln, soweit die Daten dem Umweltbundesamt und in dem Register oder der Datenbank nach Satz 1 vorliegen und diesbezüglich eine Mitteilungspflicht des Registerteilnehmers im Zusammenhang mit dem Betrieb des jeweiligen Registers oder der jeweiligen Datenbank nach Satz 1 besteht.</w:t>
      </w:r>
    </w:p>
    <w:p>
      <w:r>
        <w:t xml:space="preserve">(3) Soweit es zur Durchführung dieser Verordnung erforderlich ist, darf das Umweltbundesamt Daten aus dem Herkunftsnachweisregister für Gas oder dem Herkunftsnachweisregister für Wärme oder Kälte übermitteln an</w:t>
      </w:r>
    </w:p>
    <w:p>
      <w:pPr>
        <w:ind w:left="420"/>
      </w:pPr>
      <w:r>
        <w:t xml:space="preserve">1. das Bundesministerium für Wirtschaft und Energie,</w:t>
      </w:r>
    </w:p>
    <w:p>
      <w:pPr>
        <w:ind w:left="420"/>
      </w:pPr>
      <w:r>
        <w:t xml:space="preserve">2. das Bundesministerium für Umwelt, Naturschutz, nukleare Sicherheit und Verbraucherschutz,</w:t>
      </w:r>
    </w:p>
    <w:p>
      <w:pPr>
        <w:ind w:left="420"/>
      </w:pPr>
      <w:r>
        <w:t xml:space="preserve">3. das Bundesministerium für Ernährung und Landwirtschaft,</w:t>
      </w:r>
    </w:p>
    <w:p>
      <w:pPr>
        <w:ind w:left="420"/>
      </w:pPr>
      <w:r>
        <w:t xml:space="preserve">4. die nachgeordneten Behörden der in den Nummern 1 bis 3 genannten Bundesministerien,</w:t>
      </w:r>
    </w:p>
    <w:p>
      <w:pPr>
        <w:ind w:left="420"/>
      </w:pPr>
      <w:r>
        <w:t xml:space="preserve">5. Behörden anderer Mitgliedstaaten der Europäischen Union und von Drittstaaten sowie</w:t>
      </w:r>
    </w:p>
    <w:p>
      <w:pPr>
        <w:ind w:left="420"/>
      </w:pPr>
      <w:r>
        <w:t xml:space="preserve">6. Organe der Europäischen Union.</w:t>
      </w:r>
    </w:p>
    <w:p>
      <w:r>
        <w:t xml:space="preserve">(4) Das Umweltbundesamt kann den Betreibern der Datenbanken und der Register nach Absatz 2 sowie den Behörden nach Absatz 3 über elektronische Schnittstellen den Zugang zu den in einem Herkunftsnachweisregister nach § 3 gespeicherten Daten, einschließlich personenbezogener Daten, ermöglichen. Das Umweltbundesamt als übermittelnde Stelle hat über die Abrufe nach Satz 1 Aufzeichnungen zu fertigen, die die folgenden Daten enthalten müssen:</w:t>
      </w:r>
    </w:p>
    <w:p>
      <w:pPr>
        <w:ind w:left="420"/>
      </w:pPr>
      <w:r>
        <w:t xml:space="preserve">1. die bei der Durchführung der Abrufe verwendeten Daten,</w:t>
      </w:r>
    </w:p>
    <w:p>
      <w:pPr>
        <w:ind w:left="420"/>
      </w:pPr>
      <w:r>
        <w:t xml:space="preserve">2. den Tag und die Uhrzeit der Abrufe,</w:t>
      </w:r>
    </w:p>
    <w:p>
      <w:pPr>
        <w:ind w:left="420"/>
      </w:pPr>
      <w:r>
        <w:t xml:space="preserve">3. die Kennung der abrufenden Dienststelle und</w:t>
      </w:r>
    </w:p>
    <w:p>
      <w:pPr>
        <w:ind w:left="420"/>
      </w:pPr>
      <w:r>
        <w:t xml:space="preserve">4. die abgerufenen Daten.</w:t>
      </w:r>
    </w:p>
    <w:p>
      <w:r>
        <w:t xml:space="preserve">Die protokollierten Daten dürfen nur für Zwecke der Datenschutzkontrolle oder Datensicherung oder zur Sicherstellung eines ordnungsgemäßen Betriebs der Datenverarbeitungsanlage verwendet werden. Die protokollierten Daten sind durch geeignete Vorkehrungen gegen zweckfremde Verwendung und gegen sonstigen Missbrauch zu schützen. Die protokollierten Daten sind sechs Monate nach der Protokollierung zu löschen.</w:t>
      </w:r>
    </w:p>
    <w:p>
      <w:r>
        <w:t xml:space="preserve">(5) Das Umweltbundesamt richtet eine elektronische Schnittstelle ein, die es ermöglicht, Daten an die nach Landesrecht zuständigen Behörden zu übermitteln, soweit es für den Vollzug des Gebäudemodernisierungsgesetzes vom 8. August 2020 (BGBl. I S. 1728), das zuletzt durch Artikel 4 des Gesetzes vom 23. Juli 2026 (BGBl. 2026 I Nr. 226) geändert worden ist, in der jeweils geltenden Fassung erforderlich ist. Absatz 4 Satz 2 bis 5 ist entsprechend anzuwenden.</w:t>
      </w:r>
    </w:p>
    <w:p>
      <w:r>
        <w:rPr>
          <w:color w:val="555555"/>
          <w:sz w:val="17"/>
        </w:rPr>
        <w:t xml:space="preserve">Zitiervorschlag: § 39 GWKHV</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