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GWKHV — Entwertung</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Die Entwertung eines Herkunftsnachweises für Wärme oder Kälte ist nur für Letztverbräuche von thermischer Energie in demjenigen Fernwärme- oder Fernkältesystem zulässig, in dem sich die dem Herkunftsnachweis für Wärme oder Kälte zugrunde liegende Anlage befindet. Eine Anlage, deren thermische Energie nicht über Leitungen, sondern insbesondere über die Straße oder die Schiene transportiert wird, befindet sich in dem jeweiligen Fernwärme- oder Fernkältesystem, in das die transportierte Energie eingespeist wird. Netzverluste stehen im Sinne dieser Verordnung Letztverbräuchen gleich.</w:t>
      </w:r>
    </w:p>
    <w:p>
      <w:r>
        <w:t xml:space="preserve">(2) Das Umweltbundesamt entwertet einen Herkunftsnachweis für Wärme oder Kälte unmittelbar nach der Ausstellung auch dann, wenn die thermische Energie nach § 28 Satz 3 nicht an einen Kunden oder Endnutzer geliefert wird. Eine Übertragung an Dritte ist ausgeschlossen.</w:t>
      </w:r>
    </w:p>
    <w:p>
      <w:r>
        <w:rPr>
          <w:color w:val="555555"/>
          <w:sz w:val="17"/>
        </w:rPr>
        <w:t xml:space="preserve">Zitiervorschlag: § 35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