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GWKHV — Unterscheidbarkeit</w:t>
      </w:r>
    </w:p>
    <w:p>
      <w:r>
        <w:rPr>
          <w:color w:val="555555"/>
          <w:sz w:val="18"/>
        </w:rPr>
        <w:t xml:space="preserve">Gas-Wärme-Kälte-Herkunftsnachweisregister-Verordnung</w:t>
      </w:r>
    </w:p>
    <w:p>
      <w:r>
        <w:rPr>
          <w:color w:val="555555"/>
          <w:sz w:val="18"/>
        </w:rPr>
        <w:t xml:space="preserve">Stand: 01.05.2024 (konsolidierte Textfassung, kein amtliches Inkrafttretensdatum)</w:t>
      </w:r>
    </w:p>
    <w:p>
      <w:r>
        <w:t xml:space="preserve">Das Umweltbundesamt stellt sicher, dass ein Herkunftsnachweis für Wärme oder Kälte für thermische Energie, die im Sinne des § 28 Satz 1 Nummer 1 aus oder auf Basis von erneuerbarer Energie erzeugt wurde oder im Sinne des § 28 Satz 1 Nummer 2 aus unvermeidbarer Abwärme stammt, klar zu unterscheiden ist von einem Herkunftsnachweis für Wärme oder Kälte für thermische Energie im Sinne des § 28 Satz 1 Nummer 3 oder 4.</w:t>
      </w:r>
    </w:p>
    <w:p>
      <w:r>
        <w:rPr>
          <w:color w:val="555555"/>
          <w:sz w:val="17"/>
        </w:rPr>
        <w:t xml:space="preserve">Zitiervorschlag: § 31 GWKHV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https://recht.nulegal.eu/gesetze/GWKHV/31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