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GWKHV — Zuständige Behörde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ist die zuständige Behörde im Sinne des § 5 Absatz 1 Nummer 7 Buchstabe a erste Variante des Herkunftsnachweisregistergesetzes. Es errichtet und betreibt</w:t>
      </w:r>
    </w:p>
    <w:p>
      <w:pPr>
        <w:ind w:left="420"/>
      </w:pPr>
      <w:r>
        <w:t xml:space="preserve">1. das Herkunftsnachweisregister für Gas sowie</w:t>
      </w:r>
    </w:p>
    <w:p>
      <w:pPr>
        <w:ind w:left="420"/>
      </w:pPr>
      <w:r>
        <w:t xml:space="preserve">2. das Herkunftsnachweisregister für Wärme oder Kälte.</w:t>
      </w:r>
    </w:p>
    <w:p>
      <w:r>
        <w:rPr>
          <w:color w:val="555555"/>
          <w:sz w:val="17"/>
        </w:rPr>
        <w:t xml:space="preserve">Zitiervorschlag: § 3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