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GWKHV — Zusätzliche Angaben im Herkunftsnachweis für Gas</w:t>
      </w:r>
    </w:p>
    <w:p>
      <w:r>
        <w:rPr>
          <w:color w:val="555555"/>
          <w:sz w:val="18"/>
        </w:rPr>
        <w:t xml:space="preserve">Gas-Wärme-Kälte-Herkunftsnachweisregister-Verordnung</w:t>
      </w:r>
    </w:p>
    <w:p>
      <w:r>
        <w:rPr>
          <w:color w:val="555555"/>
          <w:sz w:val="18"/>
        </w:rPr>
        <w:t xml:space="preserve">Stand: 01.05.2024 (konsolidierte Textfassung, kein amtliches Inkrafttretensdatum)</w:t>
      </w:r>
    </w:p>
    <w:p>
      <w:r>
        <w:t xml:space="preserve">Ein Herkunftsnachweis für Gas enthält auf Antrag des Anlagenbetreibers zusätzliche Angaben zur Arbeitszahl für das erzeugte Gas.</w:t>
      </w:r>
    </w:p>
    <w:p>
      <w:r>
        <w:rPr>
          <w:color w:val="555555"/>
          <w:sz w:val="17"/>
        </w:rPr>
        <w:t xml:space="preserve">Zitiervorschlag: § 26 GWKHV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https://recht.nulegal.eu/gesetze/GWKHV/26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