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GWKHV — Löschung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(1) Das Umweltbundesamt löscht einen Herkunftsnachweis für Gas oder einen Herkunftsnachweis für Wärme oder Kälte in den folgenden Fällen:</w:t>
      </w:r>
    </w:p>
    <w:p>
      <w:pPr>
        <w:ind w:left="420"/>
      </w:pPr>
      <w:r>
        <w:t xml:space="preserve">1. auf Antrag des Kontoinhabers, auf dessen Konto der Herkunftsnachweis verbucht ist,</w:t>
      </w:r>
    </w:p>
    <w:p>
      <w:pPr>
        <w:ind w:left="420"/>
      </w:pPr>
      <w:r>
        <w:t xml:space="preserve">2. unverzüglich nach einer Entwertung nach § 21 Absatz 1 und automatisiert nach einem Verfall nach § 21 Absatz 3,</w:t>
      </w:r>
    </w:p>
    <w:p>
      <w:pPr>
        <w:ind w:left="420"/>
      </w:pPr>
      <w:r>
        <w:t xml:space="preserve">3. wenn der Herkunftsnachweis einen besonders schwerwiegenden und offensichtlichen Fehler hat oder</w:t>
      </w:r>
    </w:p>
    <w:p>
      <w:pPr>
        <w:ind w:left="420"/>
      </w:pPr>
      <w:r>
        <w:t xml:space="preserve">4. sobald der Herkunftsnachweis zur Führung der Herkunftsnachweisregister nach § 3 nicht mehr erforderlich ist.</w:t>
      </w:r>
    </w:p>
    <w:p>
      <w:r>
        <w:t xml:space="preserve">(2) Die Verwendung eines gelöschten Herkunftsnachweises für Gas oder eines gelöschten Herkunftsnachweises für Wärme oder Kälte ist untersagt.</w:t>
      </w:r>
    </w:p>
    <w:p>
      <w:r>
        <w:rPr>
          <w:color w:val="555555"/>
          <w:sz w:val="17"/>
        </w:rPr>
        <w:t xml:space="preserve">Zitiervorschlag: § 22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