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GWKHV — Gegenstand dieser Verordnung</w:t>
      </w:r>
    </w:p>
    <w:p>
      <w:r>
        <w:rPr>
          <w:color w:val="555555"/>
          <w:sz w:val="18"/>
        </w:rPr>
        <w:t xml:space="preserve">Gas-Wärme-Kälte-Herkunftsnachweisregister-Verordnung</w:t>
      </w:r>
    </w:p>
    <w:p>
      <w:r>
        <w:rPr>
          <w:color w:val="555555"/>
          <w:sz w:val="18"/>
        </w:rPr>
        <w:t xml:space="preserve">Stand: 01.05.2024 (konsolidierte Textfassung, kein amtliches Inkrafttretensdatum)</w:t>
      </w:r>
    </w:p>
    <w:p>
      <w:r>
        <w:t xml:space="preserve">Gegenstand dieser Verordnung sind</w:t>
      </w:r>
    </w:p>
    <w:p>
      <w:pPr>
        <w:ind w:left="420"/>
      </w:pPr>
      <w:r>
        <w:t xml:space="preserve">1. die Einrichtung und der Betrieb des Herkunftsnachweisregisters für Gas nach § 3 des Herkunftsnachweisregistergesetzes vom 4. Januar 2023 (BGBl. 2023 I Nr. 9), das zuletzt durch Artikel 2 des Gesetzes vom 5. Februar 2024 (BGBl. 2024 I Nr. 32) geändert worden ist, in der jeweils geltenden Fassung,</w:t>
      </w:r>
    </w:p>
    <w:p>
      <w:pPr>
        <w:ind w:left="420"/>
      </w:pPr>
      <w:r>
        <w:t xml:space="preserve">2. die Einrichtung und der Betrieb des Herkunftsnachweisregisters für Wärme oder Kälte nach § 4 des Herkunftsnachweisregistergesetzes und</w:t>
      </w:r>
    </w:p>
    <w:p>
      <w:pPr>
        <w:ind w:left="420"/>
      </w:pPr>
      <w:r>
        <w:t xml:space="preserve">3. die Übertragung der Ermächtigung zum Erlass von Rechtsverordnungen auf Grund des § 5 Absatz 1 in Verbindung mit Absatz 2 Satz 2 des Herkunftsnachweisregistergesetzes auf das Umweltbundesamt.</w:t>
      </w:r>
    </w:p>
    <w:p>
      <w:r>
        <w:rPr>
          <w:color w:val="555555"/>
          <w:sz w:val="17"/>
        </w:rPr>
        <w:t xml:space="preserve">Zitiervorschlag: § 1 GWKHV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https://recht.nulegal.eu/gesetze/GWKHV/1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