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GWDAPrV — (zu § 29 Absatz 1 Satz 2)</w:t>
      </w:r>
    </w:p>
    <w:p>
      <w:r>
        <w:rPr>
          <w:color w:val="555555"/>
          <w:sz w:val="18"/>
        </w:rPr>
        <w:t xml:space="preserve">Verordnung über die Ausbildung und Prüfung für den gehobenen Wetterdienst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2011, 1034)</w:t>
      </w:r>
    </w:p>
    <w:p>
      <w:r>
        <w:rPr>
          <w:rFonts w:ascii="Courier New" w:hAnsi="Courier New"/>
          <w:sz w:val="17"/>
        </w:rPr>
        <w:t xml:space="preserve">Rangpunkte    Note als Dezimalzahl    Note</w:t>
      </w:r>
    </w:p>
    <w:p>
      <w:r>
        <w:rPr>
          <w:rFonts w:ascii="Courier New" w:hAnsi="Courier New"/>
          <w:sz w:val="17"/>
        </w:rPr>
        <w:t xml:space="preserve">15,00    1,0    sehr gut (1)</w:t>
      </w:r>
    </w:p>
    <w:p>
      <w:r>
        <w:rPr>
          <w:rFonts w:ascii="Courier New" w:hAnsi="Courier New"/>
          <w:sz w:val="17"/>
        </w:rPr>
        <w:t xml:space="preserve">ab 14,70    1,1</w:t>
      </w:r>
    </w:p>
    <w:p>
      <w:r>
        <w:rPr>
          <w:rFonts w:ascii="Courier New" w:hAnsi="Courier New"/>
          <w:sz w:val="17"/>
        </w:rPr>
        <w:t xml:space="preserve">ab 14,40    1,2</w:t>
      </w:r>
    </w:p>
    <w:p>
      <w:r>
        <w:rPr>
          <w:rFonts w:ascii="Courier New" w:hAnsi="Courier New"/>
          <w:sz w:val="17"/>
        </w:rPr>
        <w:t xml:space="preserve">ab 14,10    1,3</w:t>
      </w:r>
    </w:p>
    <w:p>
      <w:r>
        <w:rPr>
          <w:rFonts w:ascii="Courier New" w:hAnsi="Courier New"/>
          <w:sz w:val="17"/>
        </w:rPr>
        <w:t xml:space="preserve">ab 13,80    1,4</w:t>
      </w:r>
    </w:p>
    <w:p>
      <w:r>
        <w:rPr>
          <w:rFonts w:ascii="Courier New" w:hAnsi="Courier New"/>
          <w:sz w:val="17"/>
        </w:rPr>
        <w:t xml:space="preserve">ab 13,50    1,5</w:t>
      </w:r>
    </w:p>
    <w:p>
      <w:r>
        <w:rPr>
          <w:rFonts w:ascii="Courier New" w:hAnsi="Courier New"/>
          <w:sz w:val="17"/>
        </w:rPr>
        <w:t xml:space="preserve">ab 13,20    1,6    gut (2)</w:t>
      </w:r>
    </w:p>
    <w:p>
      <w:r>
        <w:rPr>
          <w:rFonts w:ascii="Courier New" w:hAnsi="Courier New"/>
          <w:sz w:val="17"/>
        </w:rPr>
        <w:t xml:space="preserve">ab 12,90    1,7</w:t>
      </w:r>
    </w:p>
    <w:p>
      <w:r>
        <w:rPr>
          <w:rFonts w:ascii="Courier New" w:hAnsi="Courier New"/>
          <w:sz w:val="17"/>
        </w:rPr>
        <w:t xml:space="preserve">ab 12,60    1,8</w:t>
      </w:r>
    </w:p>
    <w:p>
      <w:r>
        <w:rPr>
          <w:rFonts w:ascii="Courier New" w:hAnsi="Courier New"/>
          <w:sz w:val="17"/>
        </w:rPr>
        <w:t xml:space="preserve">ab 12,30    1,9</w:t>
      </w:r>
    </w:p>
    <w:p>
      <w:r>
        <w:rPr>
          <w:rFonts w:ascii="Courier New" w:hAnsi="Courier New"/>
          <w:sz w:val="17"/>
        </w:rPr>
        <w:t xml:space="preserve">ab 12,00    2,0</w:t>
      </w:r>
    </w:p>
    <w:p>
      <w:r>
        <w:rPr>
          <w:rFonts w:ascii="Courier New" w:hAnsi="Courier New"/>
          <w:sz w:val="17"/>
        </w:rPr>
        <w:t xml:space="preserve">ab 11,70    2,1</w:t>
      </w:r>
    </w:p>
    <w:p>
      <w:r>
        <w:rPr>
          <w:rFonts w:ascii="Courier New" w:hAnsi="Courier New"/>
          <w:sz w:val="17"/>
        </w:rPr>
        <w:t xml:space="preserve">ab 11,40    2,2</w:t>
      </w:r>
    </w:p>
    <w:p>
      <w:r>
        <w:rPr>
          <w:rFonts w:ascii="Courier New" w:hAnsi="Courier New"/>
          <w:sz w:val="17"/>
        </w:rPr>
        <w:t xml:space="preserve">ab 11,10    2,3</w:t>
      </w:r>
    </w:p>
    <w:p>
      <w:r>
        <w:rPr>
          <w:rFonts w:ascii="Courier New" w:hAnsi="Courier New"/>
          <w:sz w:val="17"/>
        </w:rPr>
        <w:t xml:space="preserve">ab 10,80    2,4</w:t>
      </w:r>
    </w:p>
    <w:p>
      <w:r>
        <w:rPr>
          <w:rFonts w:ascii="Courier New" w:hAnsi="Courier New"/>
          <w:sz w:val="17"/>
        </w:rPr>
        <w:t xml:space="preserve">ab 10,50    2,5</w:t>
      </w:r>
    </w:p>
    <w:p>
      <w:r>
        <w:rPr>
          <w:rFonts w:ascii="Courier New" w:hAnsi="Courier New"/>
          <w:sz w:val="17"/>
        </w:rPr>
        <w:t xml:space="preserve">ab 10,20    2,6    befriedigend (3)</w:t>
      </w:r>
    </w:p>
    <w:p>
      <w:r>
        <w:rPr>
          <w:rFonts w:ascii="Courier New" w:hAnsi="Courier New"/>
          <w:sz w:val="17"/>
        </w:rPr>
        <w:t xml:space="preserve">ab 9,90    2,7</w:t>
      </w:r>
    </w:p>
    <w:p>
      <w:r>
        <w:rPr>
          <w:rFonts w:ascii="Courier New" w:hAnsi="Courier New"/>
          <w:sz w:val="17"/>
        </w:rPr>
        <w:t xml:space="preserve">ab 9,60    2,8</w:t>
      </w:r>
    </w:p>
    <w:p>
      <w:r>
        <w:rPr>
          <w:rFonts w:ascii="Courier New" w:hAnsi="Courier New"/>
          <w:sz w:val="17"/>
        </w:rPr>
        <w:t xml:space="preserve">ab 9,30    2,9</w:t>
      </w:r>
    </w:p>
    <w:p>
      <w:r>
        <w:rPr>
          <w:rFonts w:ascii="Courier New" w:hAnsi="Courier New"/>
          <w:sz w:val="17"/>
        </w:rPr>
        <w:t xml:space="preserve">ab 9,00    3,0</w:t>
      </w:r>
    </w:p>
    <w:p>
      <w:r>
        <w:rPr>
          <w:rFonts w:ascii="Courier New" w:hAnsi="Courier New"/>
          <w:sz w:val="17"/>
        </w:rPr>
        <w:t xml:space="preserve">ab 8,70    3,1</w:t>
      </w:r>
    </w:p>
    <w:p>
      <w:r>
        <w:rPr>
          <w:rFonts w:ascii="Courier New" w:hAnsi="Courier New"/>
          <w:sz w:val="17"/>
        </w:rPr>
        <w:t xml:space="preserve">ab 8,40    3,2</w:t>
      </w:r>
    </w:p>
    <w:p>
      <w:r>
        <w:rPr>
          <w:rFonts w:ascii="Courier New" w:hAnsi="Courier New"/>
          <w:sz w:val="17"/>
        </w:rPr>
        <w:t xml:space="preserve">ab 8,10    3,3</w:t>
      </w:r>
    </w:p>
    <w:p>
      <w:r>
        <w:rPr>
          <w:rFonts w:ascii="Courier New" w:hAnsi="Courier New"/>
          <w:sz w:val="17"/>
        </w:rPr>
        <w:t xml:space="preserve">ab 7,80    3,4</w:t>
      </w:r>
    </w:p>
    <w:p>
      <w:r>
        <w:rPr>
          <w:rFonts w:ascii="Courier New" w:hAnsi="Courier New"/>
          <w:sz w:val="17"/>
        </w:rPr>
        <w:t xml:space="preserve">ab 7,50    3,5</w:t>
      </w:r>
    </w:p>
    <w:p>
      <w:r>
        <w:rPr>
          <w:rFonts w:ascii="Courier New" w:hAnsi="Courier New"/>
          <w:sz w:val="17"/>
        </w:rPr>
        <w:t xml:space="preserve">ab 7,00    3,6    ausreichend (4)</w:t>
      </w:r>
    </w:p>
    <w:p>
      <w:r>
        <w:rPr>
          <w:rFonts w:ascii="Courier New" w:hAnsi="Courier New"/>
          <w:sz w:val="17"/>
        </w:rPr>
        <w:t xml:space="preserve">ab 6,50    3,7</w:t>
      </w:r>
    </w:p>
    <w:p>
      <w:r>
        <w:rPr>
          <w:rFonts w:ascii="Courier New" w:hAnsi="Courier New"/>
          <w:sz w:val="17"/>
        </w:rPr>
        <w:t xml:space="preserve">ab 6,00    3,8</w:t>
      </w:r>
    </w:p>
    <w:p>
      <w:r>
        <w:rPr>
          <w:rFonts w:ascii="Courier New" w:hAnsi="Courier New"/>
          <w:sz w:val="17"/>
        </w:rPr>
        <w:t xml:space="preserve">ab 5,50    3,9</w:t>
      </w:r>
    </w:p>
    <w:p>
      <w:r>
        <w:rPr>
          <w:rFonts w:ascii="Courier New" w:hAnsi="Courier New"/>
          <w:sz w:val="17"/>
        </w:rPr>
        <w:t xml:space="preserve">ab 5,00    4,0</w:t>
      </w:r>
    </w:p>
    <w:p>
      <w:r>
        <w:rPr>
          <w:color w:val="555555"/>
          <w:sz w:val="17"/>
        </w:rPr>
        <w:t xml:space="preserve">Zitiervorschlag: Anlage GWDAPrV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https://recht.nulegal.eu/gesetze/GWDAPrV/anlage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