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GWDAPrV — Einstellungsvoraussetzungen</w:t>
      </w:r>
    </w:p>
    <w:p>
      <w:r>
        <w:rPr>
          <w:color w:val="555555"/>
          <w:sz w:val="18"/>
        </w:rPr>
        <w:t xml:space="preserve">Verordnung über die Ausbildung und Prüfung für den gehobenen Wetterdienst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Vorbereitungsdienst kann eingestellt werden, wer neben den allgemeinen beamtenrechtlichen Einstellungsvoraussetzungen</w:t>
      </w:r>
    </w:p>
    <w:p>
      <w:pPr>
        <w:ind w:left="420"/>
      </w:pPr>
      <w:r>
        <w:t xml:space="preserve">1. die gesundheitlichen Anforderungen des Wechselschichtdienstes erfüllt,</w:t>
      </w:r>
    </w:p>
    <w:p>
      <w:pPr>
        <w:ind w:left="420"/>
      </w:pPr>
      <w:r>
        <w:t xml:space="preserve">2. ein ausreichendes Seh-, Hör- und Sprechvermögen sowie ein hinreichendes Farberkennungs- und Farbunterscheidungsvermögen besitzt und</w:t>
      </w:r>
    </w:p>
    <w:p>
      <w:pPr>
        <w:ind w:left="420"/>
      </w:pPr>
      <w:r>
        <w:t xml:space="preserve">3. bei einer Bewerbung beim Geoinformationsdienst der Bundeswehr</w:t>
      </w:r>
    </w:p>
    <w:p>
      <w:pPr>
        <w:ind w:left="780"/>
      </w:pPr>
      <w:r>
        <w:t xml:space="preserve">a) für eine zivile Laufbahn die Bereitschaft erklärt hat, an Auslandseinsätzen der Bundeswehr als Soldat teilzunehmen, oder</w:t>
      </w:r>
    </w:p>
    <w:p>
      <w:pPr>
        <w:ind w:left="780"/>
      </w:pPr>
      <w:r>
        <w:t xml:space="preserve">b) für eine militärische Laufbahn ein Eignungsfeststellungsverfahren erfolgreich absolviert hat.</w:t>
      </w:r>
    </w:p>
    <w:p>
      <w:r>
        <w:rPr>
          <w:color w:val="555555"/>
          <w:sz w:val="17"/>
        </w:rPr>
        <w:t xml:space="preserve">Zitiervorschlag: § 4 GWDAPrV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https://recht.nulegal.eu/gesetze/GWDAPrV/4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