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GWDAPrV — Studieninhalte</w:t>
      </w:r>
    </w:p>
    <w:p>
      <w:r>
        <w:rPr>
          <w:color w:val="555555"/>
          <w:sz w:val="18"/>
        </w:rPr>
        <w:t xml:space="preserve">Verordnung über die Ausbildung und Prüfung für den gehobenen Wetterdienst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Studieninhalte des Grundstudiums, die sich an allgemeinen Aufgaben des gehobenen Dienstes ausrichten, sind:</w:t>
      </w:r>
    </w:p>
    <w:p>
      <w:pPr>
        <w:ind w:left="420"/>
      </w:pPr>
      <w:r>
        <w:t xml:space="preserve">1. staatsrechtliche und -politische Grundlagen des Verwaltungshandelns,</w:t>
      </w:r>
    </w:p>
    <w:p>
      <w:pPr>
        <w:ind w:left="420"/>
      </w:pPr>
      <w:r>
        <w:t xml:space="preserve">2. verwaltungs- und zivilrechtliche Grundlagen des Verwaltungshandelns,</w:t>
      </w:r>
    </w:p>
    <w:p>
      <w:pPr>
        <w:ind w:left="420"/>
      </w:pPr>
      <w:r>
        <w:t xml:space="preserve">3. volks- und finanzwirtschaftliche Grundlagen des Verwaltungshandelns,</w:t>
      </w:r>
    </w:p>
    <w:p>
      <w:pPr>
        <w:ind w:left="420"/>
      </w:pPr>
      <w:r>
        <w:t xml:space="preserve">4. betriebswirtschaftliche Grundlagen des Verwaltungshandelns, Organisation und Informationstechnik,</w:t>
      </w:r>
    </w:p>
    <w:p>
      <w:pPr>
        <w:ind w:left="420"/>
      </w:pPr>
      <w:r>
        <w:t xml:space="preserve">5. sozialwissenschaftliche Grundlagen des Verwaltungshandelns (Psychologie, Soziologie, Pädagogik) und</w:t>
      </w:r>
    </w:p>
    <w:p>
      <w:pPr>
        <w:ind w:left="420"/>
      </w:pPr>
      <w:r>
        <w:t xml:space="preserve">6. laufbahntypische Bereiche der Aufgabenerfüllung.</w:t>
      </w:r>
    </w:p>
    <w:p>
      <w:r>
        <w:t xml:space="preserve">(2) Studieninhalte des Hauptstudiums I sind:</w:t>
      </w:r>
    </w:p>
    <w:p>
      <w:pPr>
        <w:ind w:left="420"/>
      </w:pPr>
      <w:r>
        <w:t xml:space="preserve">1. allgemeine Meteorologie,</w:t>
      </w:r>
    </w:p>
    <w:p>
      <w:pPr>
        <w:ind w:left="420"/>
      </w:pPr>
      <w:r>
        <w:t xml:space="preserve">2. Mathematik, Statistik, theoretische Meteorologie,</w:t>
      </w:r>
    </w:p>
    <w:p>
      <w:pPr>
        <w:ind w:left="420"/>
      </w:pPr>
      <w:r>
        <w:t xml:space="preserve">3. Physik,</w:t>
      </w:r>
    </w:p>
    <w:p>
      <w:pPr>
        <w:ind w:left="420"/>
      </w:pPr>
      <w:r>
        <w:t xml:space="preserve">4. Klimatologie und</w:t>
      </w:r>
    </w:p>
    <w:p>
      <w:pPr>
        <w:ind w:left="420"/>
      </w:pPr>
      <w:r>
        <w:t xml:space="preserve">5. informationstechnische Anwendungen in der Meteorologie.</w:t>
      </w:r>
    </w:p>
    <w:p>
      <w:r>
        <w:t xml:space="preserve">(3) Im Hauptstudium II werden die bisherigen Ausbildungsinhalte durch die folgenden Studieninhalte ergänzt, erweitert und vertieft:</w:t>
      </w:r>
    </w:p>
    <w:p>
      <w:pPr>
        <w:ind w:left="420"/>
      </w:pPr>
      <w:r>
        <w:t xml:space="preserve">1. synoptische Meteorologie,</w:t>
      </w:r>
    </w:p>
    <w:p>
      <w:pPr>
        <w:ind w:left="420"/>
      </w:pPr>
      <w:r>
        <w:t xml:space="preserve">2. meteorologische Beratung einschließlich Flugmeteorologie,</w:t>
      </w:r>
    </w:p>
    <w:p>
      <w:pPr>
        <w:ind w:left="420"/>
      </w:pPr>
      <w:r>
        <w:t xml:space="preserve">3. Geografie,</w:t>
      </w:r>
    </w:p>
    <w:p>
      <w:pPr>
        <w:ind w:left="420"/>
      </w:pPr>
      <w:r>
        <w:t xml:space="preserve">4. meteorologische Messverfahren,</w:t>
      </w:r>
    </w:p>
    <w:p>
      <w:pPr>
        <w:ind w:left="420"/>
      </w:pPr>
      <w:r>
        <w:t xml:space="preserve">5. meteorologische und geophysikalische Beratungsverfahren sowie</w:t>
      </w:r>
    </w:p>
    <w:p>
      <w:pPr>
        <w:ind w:left="420"/>
      </w:pPr>
      <w:r>
        <w:t xml:space="preserve">6. fachbezogenes Englisch.</w:t>
      </w:r>
    </w:p>
    <w:p>
      <w:r>
        <w:rPr>
          <w:color w:val="555555"/>
          <w:sz w:val="17"/>
        </w:rPr>
        <w:t xml:space="preserve">Zitiervorschlag: § 12 GWDAPrV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https://recht.nulegal.eu/gesetze/GWDAPrV/12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