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 GWB — Kartellsenat beim Bundesgerichtshof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Beim Bundesgerichtshof wird ein Kartellsenat gebildet; er entscheidet im ersten und letzten Rechtszug über die in § 73 Absatz 5 genannten Verfügungen des Bundeskartellamts und über folgende Rechtsmittel:</w:t>
      </w:r>
    </w:p>
    <w:p>
      <w:pPr>
        <w:ind w:left="420"/>
      </w:pPr>
      <w:r>
        <w:t xml:space="preserve">1. in Verwaltungssachen über die Rechtsbeschwerde gegen Entscheidungen der Oberlandesgerichte (§§ 77, 79, 80) und über die Nichtzulassungsbeschwerde (§ 78);</w:t>
      </w:r>
    </w:p>
    <w:p>
      <w:pPr>
        <w:ind w:left="420"/>
      </w:pPr>
      <w:r>
        <w:t xml:space="preserve">2. in Bußgeldverfahren über die Rechtsbeschwerde gegen Entscheidungen der Oberlandesgerichte (§ 84);</w:t>
      </w:r>
    </w:p>
    <w:p>
      <w:pPr>
        <w:ind w:left="420"/>
      </w:pPr>
      <w:r>
        <w:t xml:space="preserve">3. in bürgerlichen Rechtsstreitigkeiten nach § 87</w:t>
      </w:r>
    </w:p>
    <w:p>
      <w:pPr>
        <w:ind w:left="780"/>
      </w:pPr>
      <w:r>
        <w:t xml:space="preserve">a) über die Revision einschließlich der Nichtzulassungsbeschwerde gegen Endurteile der Oberlandesgerichte,</w:t>
      </w:r>
    </w:p>
    <w:p>
      <w:pPr>
        <w:ind w:left="780"/>
      </w:pPr>
      <w:r>
        <w:t xml:space="preserve">b) über die Sprungrevision gegen Endurteile der Landgerichte,</w:t>
      </w:r>
    </w:p>
    <w:p>
      <w:pPr>
        <w:ind w:left="780"/>
      </w:pPr>
      <w:r>
        <w:t xml:space="preserve">c) über die Rechtsbeschwerde gegen Beschlüsse der Oberlandesgerichte in den Fällen des § 574 Absatz 1 der Zivilprozessordnung;</w:t>
      </w:r>
    </w:p>
    <w:p>
      <w:pPr>
        <w:ind w:left="420"/>
      </w:pPr>
      <w:r>
        <w:t xml:space="preserve">4. in Verbandsklageverfahren nach dem Verbraucherrechtedurchsetzungsgesetz, die Ansprüche und Rechtsverhältnisse in den in § 87 aufgeführten bürgerlichen Rechtsstreitigkeiten betreffen,</w:t>
      </w:r>
    </w:p>
    <w:p>
      <w:pPr>
        <w:ind w:left="780"/>
      </w:pPr>
      <w:r>
        <w:t xml:space="preserve">a) über die Revision gegen Urteile der Oberlandesgerichte und</w:t>
      </w:r>
    </w:p>
    <w:p>
      <w:pPr>
        <w:ind w:left="780"/>
      </w:pPr>
      <w:r>
        <w:t xml:space="preserve">b) über die Rechtsbeschwerde gegen Beschlüsse der Oberlandesgerichte in den Fällen des § 574 Absatz 1 der Zivilprozessordnung.</w:t>
      </w:r>
    </w:p>
    <w:p>
      <w:r>
        <w:t xml:space="preserve">(2) Der Kartellsenat gilt im Sinne des § 132 des Gerichtsverfassungsgesetzes in Bußgeldsachen als Strafsenat, in allen übrigen Sachen als Zivilsenat.</w:t>
      </w:r>
    </w:p>
    <w:p>
      <w:r>
        <w:rPr>
          <w:color w:val="555555"/>
          <w:sz w:val="17"/>
        </w:rPr>
        <w:t xml:space="preserve">Zitiervorschlag: § 94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