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93 GWB — Zuständigkeit für Berufung und Beschwerde</w:t>
      </w:r>
    </w:p>
    <w:p>
      <w:r>
        <w:rPr>
          <w:color w:val="555555"/>
          <w:sz w:val="18"/>
        </w:rPr>
        <w:t xml:space="preserve">Gesetz gegen Wettbewerbsbeschränkungen</w:t>
      </w:r>
    </w:p>
    <w:p>
      <w:r>
        <w:rPr>
          <w:color w:val="555555"/>
          <w:sz w:val="18"/>
        </w:rPr>
        <w:t xml:space="preserve">Stand: 25.01.2021 (konsolidierte Textfassung, kein amtliches Inkrafttretensdatum)</w:t>
      </w:r>
    </w:p>
    <w:p>
      <w:r>
        <w:t xml:space="preserve">§ 92 Absatz 1 und 2 gilt entsprechend für die Entscheidung über die Berufung gegen Endurteile und die Beschwerde gegen sonstige Entscheidungen in bürgerlichen Rechtsstreitigkeiten nach § 87.</w:t>
      </w:r>
    </w:p>
    <w:p>
      <w:r>
        <w:rPr>
          <w:color w:val="555555"/>
          <w:sz w:val="17"/>
        </w:rPr>
        <w:t xml:space="preserve">Zitiervorschlag: § 93 GWB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https://recht.nulegal.eu/gesetze/GWB/93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