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89c GWB — Offenlegung aus der Behördenakte</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(1) In einem Rechtsstreit wegen eines Anspruchs nach § 33a Absatz 1 oder nach § 33g Absatz 1 oder 2 kann das Gericht auf Antrag einer Partei bei der Wettbewerbsbehörde die Vorlegung von Urkunden und Gegenständen ersuchen, die sich in deren Akten zu einem Verfahren befinden oder in einem Verfahren amtlich verwahrt werden, wenn der Antragsteller glaubhaft macht, dass er</w:t>
      </w:r>
    </w:p>
    <w:p>
      <w:pPr>
        <w:ind w:left="420"/>
      </w:pPr>
      <w:r>
        <w:t xml:space="preserve">1. einen Anspruch auf Schadensersatz nach § 33a Absatz 1 gegen eine andere Partei hat und</w:t>
      </w:r>
    </w:p>
    <w:p>
      <w:pPr>
        <w:ind w:left="420"/>
      </w:pPr>
      <w:r>
        <w:t xml:space="preserve">2. die in der Akte vermuteten Informationen nicht mit zumutbarem Aufwand von einer anderen Partei oder einem Dritten erlangen kann.</w:t>
      </w:r>
    </w:p>
    <w:p>
      <w:r>
        <w:t xml:space="preserve">Das Gericht entscheidet über den Antrag durch Beschluss. Gegen den Beschluss findet sofortige Beschwerde statt.</w:t>
      </w:r>
    </w:p>
    <w:p>
      <w:r>
        <w:t xml:space="preserve">(2) Das Gericht kann dem Antragsteller die vorgelegten Urkunden und Gegenstände zugänglich machen oder ihm Auskünfte daraus erteilen, soweit</w:t>
      </w:r>
    </w:p>
    <w:p>
      <w:pPr>
        <w:ind w:left="420"/>
      </w:pPr>
      <w:r>
        <w:t xml:space="preserve">1. es seinem Antrag entspricht,</w:t>
      </w:r>
    </w:p>
    <w:p>
      <w:pPr>
        <w:ind w:left="420"/>
      </w:pPr>
      <w:r>
        <w:t xml:space="preserve">2. die Tatsachen oder Beweismittel zur Erhebung eines Anspruchs nach § 33a Absatz 1 oder zur Verteidigung gegen diesen Anspruch erforderlich sind und</w:t>
      </w:r>
    </w:p>
    <w:p>
      <w:pPr>
        <w:ind w:left="420"/>
      </w:pPr>
      <w:r>
        <w:t xml:space="preserve">3. die Zugänglichmachung oder Auskunftserteilung nicht unverhältnismäßig ist.</w:t>
      </w:r>
    </w:p>
    <w:p>
      <w:r>
        <w:t xml:space="preserve">Das Gericht hat von der Offenlegung Betroffene und die Wettbewerbsbehörde vor der Zugänglichmachung oder Auskunftserteilung anzuhören. Tatsachen und Beweismittel, deren Geheimhaltung aus wichtigen Gründen verlangt wird, sind von der Zugänglichmachung oder Auskunftserteilung auszunehmen. § 89b Absatz 6 findet entsprechende Anwendung.</w:t>
      </w:r>
    </w:p>
    <w:p>
      <w:r>
        <w:t xml:space="preserve">(3) Das Ersuchen nach Absatz 1 oder um die Erteilung amtlicher Auskünfte von der Wettbewerbsbehörde ist ausgeschlossen, soweit es unverhältnismäßig ist. Bei der Entscheidung über das Ersuchen nach Absatz 1, über das Ersuchen um die Erteilung amtlicher Auskünfte von der Wettbewerbsbehörde sowie über die Zugänglichmachung oder Auskunftserteilung nach Absatz 2 berücksichtigt das Gericht neben § 33g Absatz 3 insbesondere auch</w:t>
      </w:r>
    </w:p>
    <w:p>
      <w:pPr>
        <w:ind w:left="420"/>
      </w:pPr>
      <w:r>
        <w:t xml:space="preserve">1. die Bestimmtheit des Antrags hinsichtlich der in der Akte der Wettbewerbsbehörde erwarteten Beweismittel nach deren Art, Gegenstand und Inhalt,</w:t>
      </w:r>
    </w:p>
    <w:p>
      <w:pPr>
        <w:ind w:left="420"/>
      </w:pPr>
      <w:r>
        <w:t xml:space="preserve">2. die Anhängigkeit des Anspruchs nach § 33a Absatz 1,</w:t>
      </w:r>
    </w:p>
    <w:p>
      <w:pPr>
        <w:ind w:left="420"/>
      </w:pPr>
      <w:r>
        <w:t xml:space="preserve">3. die Wirksamkeit der öffentlichen Durchsetzung des Kartellrechts oder der Verordnung (EU) 2022/1925, insbesondere den Einfluss der Offenlegung auf laufende Verfahren und auf die Funktionsfähigkeit von Kronzeugenprogrammen und Vergleichsverfahren.</w:t>
      </w:r>
    </w:p>
    <w:p>
      <w:r>
        <w:t xml:space="preserve">(4) Die Wettbewerbsbehörde kann die Vorlegung von Urkunden und Gegenständen, die sich in ihren Akten zu einem Verfahren befinden oder in einem Verfahren amtlich verwahrt werden, ablehnen, soweit sie Folgendes enthalten:</w:t>
      </w:r>
    </w:p>
    <w:p>
      <w:pPr>
        <w:ind w:left="420"/>
      </w:pPr>
      <w:r>
        <w:t xml:space="preserve">1. Kronzeugenerklärungen,</w:t>
      </w:r>
    </w:p>
    <w:p>
      <w:pPr>
        <w:ind w:left="420"/>
      </w:pPr>
      <w:r>
        <w:t xml:space="preserve">2. Vergleichsausführungen, die nicht zurückgezogen wurden,</w:t>
      </w:r>
    </w:p>
    <w:p>
      <w:pPr>
        <w:ind w:left="420"/>
      </w:pPr>
      <w:r>
        <w:t xml:space="preserve">3. interne Vermerke der Behörden oder</w:t>
      </w:r>
    </w:p>
    <w:p>
      <w:pPr>
        <w:ind w:left="420"/>
      </w:pPr>
      <w:r>
        <w:t xml:space="preserve">4. Kommunikation der Wettbewerbsbehörden untereinander oder mit der Generalstaatsanwaltschaft am Sitz des für die Wettbewerbsbehörde zuständigen Oberlandesgerichts oder dem Generalbundesanwalt beim Bundesgerichtshof.</w:t>
      </w:r>
    </w:p>
    <w:p>
      <w:r>
        <w:t xml:space="preserve">§ 33g Absatz 5 und § 89b Absatz 8 finden entsprechende Anwendung; letztere Regelung mit der Maßgabe, dass sie auch für die Überprüfung von Urkunden und Gegenständen im Sinne des Satzes 1 Nummer 3 und 4 gilt.</w:t>
      </w:r>
    </w:p>
    <w:p>
      <w:r>
        <w:t xml:space="preserve">(5) Die §§ 406e und 475 der Strafprozessordnung finden neben den Absätzen 1 bis 3 keine Anwendung, soweit die Einsicht in die kartellbehördliche Akte oder die Auskunft der Erhebung eines Schadensersatzanspruchs wegen eines Verstoßes nach § 33 Absatz 1 oder der Vorbereitung dieser Erhebung dienen soll. Das Recht, aufgrund dieser Vorschriften Einsicht in Bußgeldbescheide zu begehren, die eine Kartellbehörde erlassen hat, bleibt unberührt. § 33g Absatz 1 und 2 findet keine Anwendung auf Wettbewerbsbehörden, die im Besitz von Beweismitteln sind.</w:t>
      </w:r>
    </w:p>
    <w:p>
      <w:r>
        <w:t xml:space="preserve">(6) Die Regelungen der Absätze 1 bis 5 gelten entsprechend für Behörden und Gerichte, die Akten, Bestandteile oder Kopien von Akten einer Wettbewerbsbehörde in ihren Akten haben. Die Wettbewerbsbehörde, die die Akte führt oder geführt hat, ist nach Absatz 2 Satz 2 zu beteiligen.</w:t>
      </w:r>
    </w:p>
    <w:p>
      <w:r>
        <w:rPr>
          <w:color w:val="555555"/>
          <w:sz w:val="17"/>
        </w:rPr>
        <w:t xml:space="preserve">Zitiervorschlag: § 89c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