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88 GWB — Klageverbindung</w:t>
      </w:r>
    </w:p>
    <w:p>
      <w:r>
        <w:rPr>
          <w:color w:val="555555"/>
          <w:sz w:val="18"/>
        </w:rPr>
        <w:t xml:space="preserve">Gesetz gegen Wettbewerbsbeschränkungen</w:t>
      </w:r>
    </w:p>
    <w:p>
      <w:r>
        <w:rPr>
          <w:color w:val="555555"/>
          <w:sz w:val="18"/>
        </w:rPr>
        <w:t xml:space="preserve">Stand: 25.01.2021 (konsolidierte Textfassung, kein amtliches Inkrafttretensdatum)</w:t>
      </w:r>
    </w:p>
    <w:p>
      <w:r>
        <w:t xml:space="preserve">Mit der Klage nach § 87 kann die Klage wegen eines anderen Anspruchs verbunden werden, wenn dieser im rechtlichen oder unmittelbaren wirtschaftlichen Zusammenhang mit dem Anspruch steht, der bei dem nach § 87 zuständigen Gericht geltend zu machen ist; dies gilt auch dann, wenn für die Klage wegen des anderen Anspruchs eine ausschließliche Zuständigkeit gegeben ist.</w:t>
      </w:r>
    </w:p>
    <w:p>
      <w:r>
        <w:rPr>
          <w:color w:val="555555"/>
          <w:sz w:val="17"/>
        </w:rPr>
        <w:t xml:space="preserve">Zitiervorschlag: § 88 GWB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https://recht.nulegal.eu/gesetze/GWB/88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