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86a GWB — Vollstreckung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Die Kartellbehörde kann ihre Anordnungen nach den für die Vollstreckung von Verwaltungsmaßnahmen geltenden Vorschriften durchsetzen. Die Höhe des Zwangsgeldes gegen Unternehmen oder Unternehmensvereinigungen kann für jeden Tag des Verzugs ab dem in der Androhung bestimmten Zeitpunkt bis zu 5 Prozent des im vorausgegangenen Geschäftsjahr erzielten durchschnittlichen weltweiten Tagesgesamtumsatzes des Unternehmens oder der Unternehmensvereinigung betragen.</w:t>
      </w:r>
    </w:p>
    <w:p>
      <w:r>
        <w:rPr>
          <w:color w:val="555555"/>
          <w:sz w:val="17"/>
        </w:rPr>
        <w:t xml:space="preserve">Zitiervorschlag: § 86a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